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560"/>
        <w:jc w:val="center"/>
        <w:rPr>
          <w:rFonts w:ascii="宋体" w:hAnsi="宋体"/>
          <w:b/>
          <w:bCs/>
          <w:sz w:val="36"/>
          <w:szCs w:val="36"/>
        </w:rPr>
      </w:pPr>
      <w:r>
        <w:rPr>
          <w:rFonts w:hint="eastAsia" w:ascii="宋体" w:hAnsi="宋体"/>
          <w:b/>
          <w:bCs/>
          <w:sz w:val="36"/>
          <w:szCs w:val="36"/>
        </w:rPr>
        <w:t>远东智慧能源股份有限公司</w:t>
      </w:r>
    </w:p>
    <w:p>
      <w:pPr>
        <w:spacing w:line="360" w:lineRule="auto"/>
        <w:ind w:firstLine="560"/>
        <w:jc w:val="center"/>
        <w:rPr>
          <w:rFonts w:ascii="宋体" w:hAnsi="宋体"/>
          <w:b/>
          <w:bCs/>
          <w:sz w:val="36"/>
          <w:szCs w:val="36"/>
          <w:u w:val="double"/>
          <w:lang w:val="zh-CN"/>
        </w:rPr>
      </w:pPr>
      <w:r>
        <w:rPr>
          <w:rFonts w:hint="eastAsia" w:ascii="宋体" w:hAnsi="宋体"/>
          <w:b/>
          <w:bCs/>
          <w:sz w:val="36"/>
          <w:szCs w:val="36"/>
        </w:rPr>
        <w:t>旗下子公司—</w:t>
      </w:r>
      <w:r>
        <w:rPr>
          <w:rFonts w:hint="eastAsia" w:ascii="宋体" w:hAnsi="宋体"/>
          <w:b/>
          <w:bCs/>
          <w:sz w:val="36"/>
          <w:szCs w:val="36"/>
          <w:u w:val="double"/>
          <w:lang w:val="zh-CN"/>
        </w:rPr>
        <w:t>远东</w:t>
      </w:r>
      <w:r>
        <w:rPr>
          <w:rFonts w:hint="eastAsia" w:ascii="宋体" w:hAnsi="宋体"/>
          <w:b/>
          <w:bCs/>
          <w:sz w:val="36"/>
          <w:szCs w:val="36"/>
          <w:u w:val="double"/>
        </w:rPr>
        <w:t>海缆</w:t>
      </w:r>
      <w:r>
        <w:rPr>
          <w:rFonts w:hint="eastAsia" w:ascii="宋体" w:hAnsi="宋体"/>
          <w:b/>
          <w:bCs/>
          <w:sz w:val="36"/>
          <w:szCs w:val="36"/>
          <w:u w:val="double"/>
          <w:lang w:val="zh-CN"/>
        </w:rPr>
        <w:t>有限公司</w:t>
      </w:r>
    </w:p>
    <w:p>
      <w:pPr>
        <w:spacing w:line="360" w:lineRule="auto"/>
        <w:jc w:val="center"/>
        <w:rPr>
          <w:rFonts w:ascii="方正小标宋简体" w:hAnsi="方正小标宋简体" w:eastAsia="方正小标宋简体" w:cs="方正小标宋简体"/>
          <w:b/>
          <w:sz w:val="32"/>
          <w:szCs w:val="32"/>
        </w:rPr>
      </w:pPr>
      <w:bookmarkStart w:id="0" w:name="_Hlk103687324"/>
      <w:r>
        <w:rPr>
          <w:rFonts w:hint="eastAsia" w:ascii="宋体" w:hAnsi="宋体" w:cs="宋体"/>
          <w:b/>
          <w:sz w:val="32"/>
          <w:szCs w:val="32"/>
        </w:rPr>
        <w:t>CCV</w:t>
      </w:r>
      <w:r>
        <w:rPr>
          <w:rFonts w:hint="eastAsia" w:ascii="方正小标宋简体" w:hAnsi="方正小标宋简体" w:eastAsia="方正小标宋简体" w:cs="方正小标宋简体"/>
          <w:b/>
          <w:sz w:val="32"/>
          <w:szCs w:val="32"/>
        </w:rPr>
        <w:t>楼</w:t>
      </w:r>
      <w:r>
        <w:rPr>
          <w:rFonts w:hint="eastAsia" w:ascii="方正小标宋简体" w:hAnsi="方正小标宋简体" w:eastAsia="方正小标宋简体" w:cs="方正小标宋简体"/>
          <w:b/>
          <w:sz w:val="32"/>
          <w:szCs w:val="32"/>
          <w:lang w:eastAsia="zh-CN"/>
        </w:rPr>
        <w:t>、</w:t>
      </w:r>
      <w:r>
        <w:rPr>
          <w:rFonts w:hint="eastAsia" w:ascii="宋体" w:hAnsi="宋体" w:cs="宋体"/>
          <w:b/>
          <w:sz w:val="32"/>
          <w:szCs w:val="32"/>
        </w:rPr>
        <w:t>VCV</w:t>
      </w:r>
      <w:r>
        <w:rPr>
          <w:rFonts w:hint="eastAsia" w:ascii="方正小标宋简体" w:hAnsi="方正小标宋简体" w:eastAsia="方正小标宋简体" w:cs="方正小标宋简体"/>
          <w:b/>
          <w:sz w:val="32"/>
          <w:szCs w:val="32"/>
        </w:rPr>
        <w:t>楼</w:t>
      </w:r>
      <w:r>
        <w:rPr>
          <w:rFonts w:hint="eastAsia" w:ascii="方正小标宋简体" w:hAnsi="方正小标宋简体" w:eastAsia="方正小标宋简体" w:cs="方正小标宋简体"/>
          <w:b/>
          <w:sz w:val="32"/>
          <w:szCs w:val="32"/>
          <w:lang w:eastAsia="zh-CN"/>
        </w:rPr>
        <w:t>、</w:t>
      </w:r>
      <w:r>
        <w:rPr>
          <w:rFonts w:hint="eastAsia" w:ascii="方正小标宋简体" w:hAnsi="方正小标宋简体" w:eastAsia="方正小标宋简体" w:cs="方正小标宋简体"/>
          <w:b/>
          <w:sz w:val="32"/>
          <w:szCs w:val="32"/>
          <w:lang w:val="en-US" w:eastAsia="zh-CN"/>
        </w:rPr>
        <w:t>转盘、成缆机强电弱电</w:t>
      </w:r>
      <w:r>
        <w:rPr>
          <w:rFonts w:hint="eastAsia" w:ascii="方正小标宋简体" w:hAnsi="方正小标宋简体" w:eastAsia="方正小标宋简体" w:cs="方正小标宋简体"/>
          <w:b/>
          <w:sz w:val="32"/>
          <w:szCs w:val="32"/>
        </w:rPr>
        <w:t>用</w:t>
      </w:r>
    </w:p>
    <w:p>
      <w:pPr>
        <w:spacing w:line="360" w:lineRule="auto"/>
        <w:ind w:firstLine="560"/>
        <w:jc w:val="center"/>
        <w:rPr>
          <w:rFonts w:ascii="宋体" w:hAnsi="宋体"/>
          <w:b/>
          <w:bCs/>
          <w:sz w:val="36"/>
          <w:szCs w:val="36"/>
          <w:u w:val="single"/>
        </w:rPr>
      </w:pPr>
      <w:r>
        <w:rPr>
          <w:rFonts w:hint="eastAsia" w:ascii="方正小标宋简体" w:hAnsi="方正小标宋简体" w:eastAsia="方正小标宋简体" w:cs="方正小标宋简体"/>
          <w:b/>
          <w:sz w:val="32"/>
          <w:szCs w:val="32"/>
        </w:rPr>
        <w:t>电缆桥架</w:t>
      </w:r>
      <w:bookmarkEnd w:id="0"/>
      <w:r>
        <w:rPr>
          <w:rFonts w:hint="eastAsia" w:ascii="方正小标宋简体" w:hAnsi="方正小标宋简体" w:eastAsia="方正小标宋简体" w:cs="方正小标宋简体"/>
          <w:b/>
          <w:sz w:val="32"/>
          <w:szCs w:val="32"/>
        </w:rPr>
        <w:t>采购及施工招标书</w:t>
      </w:r>
    </w:p>
    <w:p>
      <w:pPr>
        <w:spacing w:line="600" w:lineRule="exact"/>
        <w:ind w:firstLine="2800" w:firstLineChars="1000"/>
        <w:rPr>
          <w:rFonts w:ascii="宋体" w:hAnsi="宋体"/>
          <w:sz w:val="28"/>
          <w:szCs w:val="28"/>
        </w:rPr>
      </w:pPr>
      <w:r>
        <w:rPr>
          <w:rFonts w:hint="eastAsia" w:ascii="宋体" w:hAnsi="宋体"/>
          <w:sz w:val="28"/>
          <w:szCs w:val="28"/>
        </w:rPr>
        <w:t>招标书编号：</w:t>
      </w:r>
      <w:r>
        <w:rPr>
          <w:rFonts w:ascii="宋体" w:hAnsi="宋体"/>
          <w:sz w:val="28"/>
          <w:szCs w:val="28"/>
        </w:rPr>
        <w:t>202</w:t>
      </w:r>
      <w:r>
        <w:rPr>
          <w:rFonts w:hint="eastAsia" w:ascii="宋体" w:hAnsi="宋体"/>
          <w:sz w:val="28"/>
          <w:szCs w:val="28"/>
          <w:lang w:val="en-US" w:eastAsia="zh-CN"/>
        </w:rPr>
        <w:t>4</w:t>
      </w:r>
      <w:r>
        <w:rPr>
          <w:rFonts w:ascii="宋体" w:hAnsi="宋体"/>
          <w:sz w:val="28"/>
          <w:szCs w:val="28"/>
        </w:rPr>
        <w:t>0</w:t>
      </w:r>
      <w:r>
        <w:rPr>
          <w:rFonts w:hint="eastAsia" w:ascii="宋体" w:hAnsi="宋体"/>
          <w:sz w:val="28"/>
          <w:szCs w:val="28"/>
          <w:lang w:val="en-US" w:eastAsia="zh-CN"/>
        </w:rPr>
        <w:t>419</w:t>
      </w:r>
      <w:r>
        <w:rPr>
          <w:rFonts w:hint="eastAsia" w:ascii="宋体" w:hAnsi="宋体"/>
          <w:sz w:val="28"/>
          <w:szCs w:val="28"/>
        </w:rPr>
        <w:t>01</w:t>
      </w:r>
    </w:p>
    <w:p>
      <w:pPr>
        <w:spacing w:line="420" w:lineRule="exact"/>
        <w:rPr>
          <w:rFonts w:ascii="等线" w:hAnsi="等线" w:eastAsia="等线"/>
          <w:b/>
          <w:bCs/>
          <w:color w:val="0070C0"/>
          <w:szCs w:val="21"/>
        </w:rPr>
      </w:pPr>
      <w:r>
        <w:rPr>
          <w:rFonts w:hint="eastAsia" w:ascii="等线" w:hAnsi="等线" w:eastAsia="等线"/>
          <w:b/>
          <w:bCs/>
          <w:color w:val="0070C0"/>
          <w:szCs w:val="21"/>
        </w:rPr>
        <w:t>一、概述</w:t>
      </w:r>
    </w:p>
    <w:p>
      <w:pPr>
        <w:pStyle w:val="2"/>
        <w:spacing w:line="300" w:lineRule="auto"/>
        <w:rPr>
          <w:rFonts w:eastAsia="仿宋_GB2312"/>
          <w:lang w:eastAsia="zh-CN"/>
        </w:rPr>
      </w:pPr>
      <w:r>
        <w:rPr>
          <w:rFonts w:hint="eastAsia" w:ascii="仿宋_GB2312" w:hAnsi="仿宋_GB2312" w:eastAsia="仿宋_GB2312" w:cs="仿宋_GB2312"/>
          <w:lang w:eastAsia="zh-CN"/>
        </w:rPr>
        <w:t xml:space="preserve">     项目位于江苏省南通市如东县洋口港经济开发区临港工业园二期，主厂房共设置三处变配电所，分别为光伏变、变配电、以及试验配电室。厂区内的各单体建筑供电电源等级为380/220V。主厂房以及厂区各个单体建筑电源分别由三个变电所提供。</w:t>
      </w:r>
    </w:p>
    <w:p>
      <w:pPr>
        <w:spacing w:line="360" w:lineRule="auto"/>
        <w:jc w:val="center"/>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lang w:eastAsia="zh-CN"/>
        </w:rPr>
        <w:t>本着公平、公正、公开的原则，现对</w:t>
      </w:r>
      <w:r>
        <w:rPr>
          <w:rFonts w:hint="eastAsia" w:ascii="仿宋_GB2312" w:hAnsi="仿宋_GB2312" w:eastAsia="仿宋_GB2312" w:cs="仿宋_GB2312"/>
          <w:b/>
          <w:bCs/>
          <w:kern w:val="0"/>
          <w:sz w:val="24"/>
          <w:szCs w:val="24"/>
          <w:lang w:val="en-US" w:eastAsia="zh-CN" w:bidi="ar-SA"/>
        </w:rPr>
        <w:t>CCV楼、VCV楼、转盘、成缆机强电弱电用</w:t>
      </w:r>
    </w:p>
    <w:p>
      <w:pPr>
        <w:pStyle w:val="2"/>
        <w:spacing w:line="300" w:lineRule="auto"/>
        <w:ind w:firstLine="482" w:firstLineChars="200"/>
        <w:rPr>
          <w:rFonts w:ascii="仿宋_GB2312" w:hAnsi="仿宋_GB2312" w:eastAsia="仿宋_GB2312" w:cs="仿宋_GB2312"/>
          <w:lang w:eastAsia="zh-CN"/>
        </w:rPr>
      </w:pPr>
      <w:r>
        <w:rPr>
          <w:rFonts w:hint="eastAsia" w:ascii="仿宋_GB2312" w:hAnsi="仿宋_GB2312" w:eastAsia="仿宋_GB2312" w:cs="仿宋_GB2312"/>
          <w:b/>
          <w:bCs/>
          <w:kern w:val="0"/>
          <w:sz w:val="24"/>
          <w:szCs w:val="24"/>
          <w:lang w:val="en-US" w:eastAsia="zh-CN" w:bidi="ar-SA"/>
        </w:rPr>
        <w:t>电缆桥架采购及施工</w:t>
      </w:r>
      <w:r>
        <w:rPr>
          <w:rFonts w:hint="eastAsia" w:ascii="仿宋_GB2312" w:hAnsi="仿宋_GB2312" w:eastAsia="仿宋_GB2312" w:cs="仿宋_GB2312"/>
          <w:lang w:eastAsia="zh-CN"/>
        </w:rPr>
        <w:t>项目进行公开招标，择优选择供应商，具体事项如下：</w:t>
      </w:r>
    </w:p>
    <w:p>
      <w:pPr>
        <w:pStyle w:val="10"/>
        <w:spacing w:line="300" w:lineRule="auto"/>
        <w:ind w:firstLine="422" w:firstLineChars="200"/>
        <w:jc w:val="left"/>
        <w:outlineLvl w:val="1"/>
        <w:rPr>
          <w:rFonts w:ascii="仿宋_GB2312" w:hAnsi="仿宋_GB2312" w:eastAsia="仿宋_GB2312" w:cs="仿宋_GB2312"/>
          <w:b/>
        </w:rPr>
      </w:pPr>
      <w:bookmarkStart w:id="1" w:name="_Toc3518"/>
      <w:bookmarkStart w:id="2" w:name="_Toc8504"/>
      <w:bookmarkStart w:id="3" w:name="_Toc6604"/>
      <w:bookmarkStart w:id="4" w:name="_Toc15504_WPSOffice_Level2"/>
      <w:r>
        <w:rPr>
          <w:rFonts w:hint="eastAsia" w:ascii="仿宋_GB2312" w:hAnsi="仿宋_GB2312" w:eastAsia="仿宋_GB2312" w:cs="仿宋_GB2312"/>
          <w:b/>
        </w:rPr>
        <w:t>1.1招标项目工程概况</w:t>
      </w:r>
      <w:bookmarkEnd w:id="1"/>
      <w:bookmarkEnd w:id="2"/>
      <w:bookmarkEnd w:id="3"/>
      <w:bookmarkEnd w:id="4"/>
    </w:p>
    <w:p>
      <w:pPr>
        <w:widowControl/>
        <w:kinsoku w:val="0"/>
        <w:autoSpaceDE w:val="0"/>
        <w:autoSpaceDN w:val="0"/>
        <w:adjustRightInd w:val="0"/>
        <w:snapToGrid w:val="0"/>
        <w:spacing w:before="182" w:line="300" w:lineRule="auto"/>
        <w:ind w:left="-315" w:leftChars="-150" w:right="-23" w:firstLine="787" w:firstLineChars="328"/>
        <w:textAlignment w:val="baseline"/>
        <w:rPr>
          <w:rFonts w:hint="eastAsia" w:ascii="仿宋_GB2312" w:hAnsi="仿宋_GB2312" w:eastAsia="仿宋_GB2312" w:cs="仿宋_GB2312"/>
          <w:spacing w:val="-10"/>
          <w:sz w:val="24"/>
          <w:u w:val="single"/>
        </w:rPr>
      </w:pPr>
      <w:r>
        <w:rPr>
          <w:rFonts w:hint="eastAsia" w:ascii="仿宋_GB2312" w:hAnsi="仿宋_GB2312" w:eastAsia="仿宋_GB2312" w:cs="仿宋_GB2312"/>
        </w:rPr>
        <w:t>1.1.2 工程名称：</w:t>
      </w:r>
      <w:r>
        <w:rPr>
          <w:rFonts w:hint="eastAsia" w:ascii="仿宋_GB2312" w:hAnsi="仿宋_GB2312" w:eastAsia="仿宋_GB2312" w:cs="仿宋_GB2312"/>
          <w:u w:val="single"/>
        </w:rPr>
        <w:t xml:space="preserve">   </w:t>
      </w:r>
      <w:r>
        <w:rPr>
          <w:rFonts w:hint="eastAsia" w:ascii="仿宋_GB2312" w:hAnsi="仿宋_GB2312" w:eastAsia="仿宋_GB2312" w:cs="仿宋_GB2312"/>
          <w:spacing w:val="-10"/>
          <w:sz w:val="24"/>
          <w:u w:val="single"/>
        </w:rPr>
        <w:t>CCV楼</w:t>
      </w:r>
      <w:r>
        <w:rPr>
          <w:rFonts w:hint="eastAsia" w:ascii="仿宋_GB2312" w:hAnsi="仿宋_GB2312" w:eastAsia="仿宋_GB2312" w:cs="仿宋_GB2312"/>
          <w:spacing w:val="-10"/>
          <w:sz w:val="24"/>
          <w:u w:val="single"/>
          <w:lang w:eastAsia="zh-CN"/>
        </w:rPr>
        <w:t>、</w:t>
      </w:r>
      <w:r>
        <w:rPr>
          <w:rFonts w:hint="eastAsia" w:ascii="仿宋_GB2312" w:hAnsi="仿宋_GB2312" w:eastAsia="仿宋_GB2312" w:cs="仿宋_GB2312"/>
          <w:spacing w:val="-10"/>
          <w:sz w:val="24"/>
          <w:u w:val="single"/>
        </w:rPr>
        <w:t>VCV楼</w:t>
      </w:r>
      <w:r>
        <w:rPr>
          <w:rFonts w:hint="eastAsia" w:ascii="仿宋_GB2312" w:hAnsi="仿宋_GB2312" w:eastAsia="仿宋_GB2312" w:cs="仿宋_GB2312"/>
          <w:spacing w:val="-10"/>
          <w:sz w:val="24"/>
          <w:u w:val="single"/>
          <w:lang w:eastAsia="zh-CN"/>
        </w:rPr>
        <w:t>、</w:t>
      </w:r>
      <w:r>
        <w:rPr>
          <w:rFonts w:hint="eastAsia" w:ascii="仿宋_GB2312" w:hAnsi="仿宋_GB2312" w:eastAsia="仿宋_GB2312" w:cs="仿宋_GB2312"/>
          <w:spacing w:val="-10"/>
          <w:sz w:val="24"/>
          <w:u w:val="single"/>
          <w:lang w:val="en-US" w:eastAsia="zh-CN"/>
        </w:rPr>
        <w:t>转盘、成缆机强电弱电</w:t>
      </w:r>
      <w:r>
        <w:rPr>
          <w:rFonts w:hint="eastAsia" w:ascii="仿宋_GB2312" w:hAnsi="仿宋_GB2312" w:eastAsia="仿宋_GB2312" w:cs="仿宋_GB2312"/>
          <w:spacing w:val="-10"/>
          <w:sz w:val="24"/>
          <w:u w:val="single"/>
        </w:rPr>
        <w:t>用电缆桥架采购及施工</w:t>
      </w:r>
    </w:p>
    <w:p>
      <w:pPr>
        <w:widowControl/>
        <w:kinsoku w:val="0"/>
        <w:autoSpaceDE w:val="0"/>
        <w:autoSpaceDN w:val="0"/>
        <w:adjustRightInd w:val="0"/>
        <w:snapToGrid w:val="0"/>
        <w:spacing w:before="182" w:line="300" w:lineRule="auto"/>
        <w:ind w:left="-315" w:leftChars="-150" w:right="-23" w:firstLine="787" w:firstLineChars="328"/>
        <w:textAlignment w:val="baseline"/>
        <w:rPr>
          <w:rFonts w:ascii="仿宋_GB2312" w:hAnsi="仿宋_GB2312" w:eastAsia="仿宋_GB2312" w:cs="仿宋_GB2312"/>
          <w:spacing w:val="-10"/>
          <w:sz w:val="24"/>
        </w:rPr>
      </w:pPr>
      <w:r>
        <w:rPr>
          <w:rFonts w:hint="eastAsia" w:ascii="仿宋_GB2312" w:hAnsi="仿宋_GB2312" w:eastAsia="仿宋_GB2312" w:cs="仿宋_GB2312"/>
          <w:sz w:val="24"/>
        </w:rPr>
        <w:t>1.1.3 项目地址：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pacing w:val="-10"/>
          <w:sz w:val="24"/>
          <w:u w:val="single"/>
        </w:rPr>
        <w:t xml:space="preserve">江苏省南通市如东县洋口港经济开发区临港工业园二期       </w:t>
      </w:r>
      <w:r>
        <w:rPr>
          <w:rFonts w:hint="eastAsia" w:ascii="仿宋_GB2312" w:hAnsi="仿宋_GB2312" w:eastAsia="仿宋_GB2312" w:cs="仿宋_GB2312"/>
          <w:spacing w:val="-10"/>
          <w:sz w:val="24"/>
        </w:rPr>
        <w:t xml:space="preserve"> </w:t>
      </w:r>
    </w:p>
    <w:p>
      <w:pPr>
        <w:spacing w:line="30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1.1.4 土建结构：</w:t>
      </w:r>
      <w:r>
        <w:rPr>
          <w:rFonts w:hint="eastAsia" w:ascii="仿宋_GB2312" w:hAnsi="仿宋_GB2312" w:eastAsia="仿宋_GB2312" w:cs="仿宋_GB2312"/>
          <w:sz w:val="24"/>
          <w:u w:val="single"/>
        </w:rPr>
        <w:t xml:space="preserve">             框架结构                                       </w:t>
      </w:r>
    </w:p>
    <w:p>
      <w:pPr>
        <w:pStyle w:val="10"/>
        <w:spacing w:line="300" w:lineRule="auto"/>
        <w:ind w:firstLine="422" w:firstLineChars="200"/>
        <w:jc w:val="left"/>
        <w:outlineLvl w:val="1"/>
        <w:rPr>
          <w:rFonts w:ascii="仿宋_GB2312" w:hAnsi="仿宋_GB2312" w:eastAsia="仿宋_GB2312" w:cs="仿宋_GB2312"/>
          <w:b/>
        </w:rPr>
      </w:pPr>
      <w:bookmarkStart w:id="5" w:name="_Toc15193"/>
      <w:bookmarkStart w:id="6" w:name="_Toc20412"/>
      <w:bookmarkStart w:id="7" w:name="_Toc13760"/>
      <w:r>
        <w:rPr>
          <w:rFonts w:hint="eastAsia" w:ascii="仿宋_GB2312" w:hAnsi="仿宋_GB2312" w:eastAsia="仿宋_GB2312" w:cs="仿宋_GB2312"/>
          <w:b/>
        </w:rPr>
        <w:t>1.2招标范围</w:t>
      </w:r>
      <w:bookmarkEnd w:id="5"/>
      <w:bookmarkEnd w:id="6"/>
      <w:bookmarkEnd w:id="7"/>
    </w:p>
    <w:p>
      <w:pPr>
        <w:widowControl/>
        <w:spacing w:line="300" w:lineRule="auto"/>
        <w:ind w:firstLine="480" w:firstLineChars="200"/>
        <w:jc w:val="left"/>
        <w:rPr>
          <w:rFonts w:ascii="仿宋_GB2312" w:hAnsi="仿宋_GB2312" w:eastAsia="仿宋_GB2312" w:cs="仿宋_GB2312"/>
          <w:sz w:val="24"/>
          <w:szCs w:val="24"/>
        </w:rPr>
      </w:pPr>
      <w:bookmarkStart w:id="8" w:name="_Toc2734"/>
      <w:bookmarkStart w:id="9" w:name="_Toc3651"/>
      <w:bookmarkStart w:id="10" w:name="_Toc28693"/>
      <w:r>
        <w:rPr>
          <w:rFonts w:hint="eastAsia" w:ascii="仿宋_GB2312" w:hAnsi="仿宋_GB2312" w:eastAsia="仿宋_GB2312" w:cs="仿宋_GB2312"/>
          <w:sz w:val="24"/>
          <w:szCs w:val="24"/>
        </w:rPr>
        <w:t>1.2.1 投标单位需按照设计院图纸和有关技术规范，完成远东海缆CCV、VCV、 转盘、立式成缆机所需的强电弱电电缆所用桥架的制造、出厂前的包装、发运、工地现场开箱交接、指导安装、参加安装阶段质量检查、现场验收及与之相关的技术服务和专用工具，技术资料，提供试运行期、质量保修期备品备件以及质量保修期满足够运行两年的备品备件等；</w:t>
      </w:r>
    </w:p>
    <w:p>
      <w:pPr>
        <w:pStyle w:val="10"/>
        <w:spacing w:line="300" w:lineRule="auto"/>
        <w:ind w:firstLine="480" w:firstLineChars="200"/>
        <w:jc w:val="left"/>
        <w:rPr>
          <w:rFonts w:ascii="仿宋_GB2312" w:hAnsi="仿宋_GB2312" w:eastAsia="仿宋_GB2312" w:cs="仿宋_GB2312"/>
          <w:szCs w:val="24"/>
        </w:rPr>
      </w:pPr>
      <w:r>
        <w:rPr>
          <w:rFonts w:hint="eastAsia" w:ascii="仿宋_GB2312" w:hAnsi="仿宋_GB2312" w:eastAsia="仿宋_GB2312" w:cs="仿宋_GB2312"/>
          <w:szCs w:val="24"/>
        </w:rPr>
        <w:t>1.2.2本工程必须严格按照电气设计图纸及相关规范进行设计生产；</w:t>
      </w:r>
    </w:p>
    <w:p>
      <w:pPr>
        <w:pStyle w:val="10"/>
        <w:spacing w:line="300" w:lineRule="auto"/>
        <w:ind w:firstLine="480" w:firstLineChars="200"/>
        <w:jc w:val="left"/>
        <w:rPr>
          <w:rFonts w:eastAsia="仿宋_GB2312"/>
        </w:rPr>
      </w:pPr>
      <w:r>
        <w:rPr>
          <w:rFonts w:hint="eastAsia" w:ascii="仿宋_GB2312" w:hAnsi="仿宋_GB2312" w:eastAsia="仿宋_GB2312" w:cs="仿宋_GB2312"/>
          <w:szCs w:val="24"/>
        </w:rPr>
        <w:t>1.2.3 投标单位需要针对业主方提供的电气施工图纸，包括但不限于对车间桥架布置图，以及各楼层桥架布置图和孔洞图等图纸深化设计工作；</w:t>
      </w:r>
    </w:p>
    <w:p>
      <w:pPr>
        <w:widowControl/>
        <w:spacing w:line="30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1.2.4 投标联合体应承担包括但不限于同远东海缆土建总包施工单位、监理单位、以及相关部门的技术交底及业务对接工作；</w:t>
      </w:r>
    </w:p>
    <w:p>
      <w:pPr>
        <w:pStyle w:val="10"/>
        <w:spacing w:line="300" w:lineRule="auto"/>
        <w:ind w:firstLine="480" w:firstLineChars="200"/>
        <w:jc w:val="left"/>
        <w:rPr>
          <w:rFonts w:ascii="仿宋_GB2312" w:hAnsi="仿宋_GB2312" w:eastAsia="仿宋_GB2312" w:cs="仿宋_GB2312"/>
          <w:szCs w:val="24"/>
        </w:rPr>
      </w:pPr>
      <w:r>
        <w:rPr>
          <w:rFonts w:hint="eastAsia" w:ascii="仿宋_GB2312" w:hAnsi="仿宋_GB2312" w:eastAsia="仿宋_GB2312" w:cs="仿宋_GB2312"/>
          <w:szCs w:val="24"/>
        </w:rPr>
        <w:t>1.2.5此次招标的电缆桥架规格型号及数量见工程量清单。（注：清单中提供的电缆桥架长度仅供参考，电缆桥架精确长度及各种单元数量应由投标联合体统计），投标联合体在报价时在分项报价表中应提供配套的电缆桥架弯通、三通等的单价，在签订合同时以电缆桥架弯通、三通的实际用量为准（增减合同总价），</w:t>
      </w:r>
      <w:r>
        <w:rPr>
          <w:rFonts w:hint="eastAsia" w:ascii="仿宋_GB2312" w:hAnsi="仿宋_GB2312" w:eastAsia="仿宋_GB2312" w:cs="仿宋_GB2312"/>
          <w:szCs w:val="24"/>
          <w:highlight w:val="yellow"/>
        </w:rPr>
        <w:t>其中CCV 楼、VCV 楼主动力桥架及转盘、立式成缆机等报价所需的图纸；</w:t>
      </w:r>
    </w:p>
    <w:p>
      <w:pPr>
        <w:pStyle w:val="10"/>
        <w:spacing w:line="300" w:lineRule="auto"/>
        <w:ind w:firstLine="480" w:firstLineChars="200"/>
        <w:jc w:val="left"/>
        <w:rPr>
          <w:rFonts w:ascii="仿宋_GB2312" w:hAnsi="仿宋_GB2312" w:eastAsia="仿宋_GB2312" w:cs="仿宋_GB2312"/>
          <w:szCs w:val="24"/>
        </w:rPr>
      </w:pPr>
      <w:r>
        <w:rPr>
          <w:rFonts w:hint="eastAsia" w:ascii="仿宋_GB2312" w:hAnsi="仿宋_GB2312" w:eastAsia="仿宋_GB2312" w:cs="仿宋_GB2312"/>
          <w:szCs w:val="24"/>
        </w:rPr>
        <w:t>1.2.6电缆桥架的供货需包括所有的必须附件，必须成套供并有一定余量，使其能够形成完整的系统（附件根据具体情况为：盖板、直线连接板、铰链式连接板、端头连接板、调宽板、调高板、调宽调高板、调角板、隔板、引下装置、电缆卡具、终端封头、伸缩节、锁扣、半圆头方颈螺栓、垫片及槽盒间的接地黄绿导线及其它紧固件）；</w:t>
      </w:r>
    </w:p>
    <w:p>
      <w:pPr>
        <w:pStyle w:val="10"/>
        <w:spacing w:line="300" w:lineRule="auto"/>
        <w:ind w:firstLine="480" w:firstLineChars="200"/>
        <w:jc w:val="left"/>
        <w:rPr>
          <w:rFonts w:ascii="仿宋_GB2312" w:hAnsi="仿宋_GB2312" w:eastAsia="仿宋_GB2312" w:cs="仿宋_GB2312"/>
          <w:szCs w:val="24"/>
        </w:rPr>
      </w:pPr>
      <w:r>
        <w:rPr>
          <w:rFonts w:hint="eastAsia" w:ascii="仿宋_GB2312" w:hAnsi="仿宋_GB2312" w:eastAsia="仿宋_GB2312" w:cs="仿宋_GB2312"/>
          <w:szCs w:val="24"/>
        </w:rPr>
        <w:t>1.2.</w:t>
      </w:r>
      <w:r>
        <w:rPr>
          <w:rFonts w:hint="eastAsia" w:ascii="仿宋_GB2312" w:hAnsi="仿宋_GB2312" w:eastAsia="仿宋_GB2312" w:cs="仿宋_GB2312"/>
          <w:szCs w:val="24"/>
          <w:lang w:val="en-US" w:eastAsia="zh-CN"/>
        </w:rPr>
        <w:t>7</w:t>
      </w:r>
      <w:r>
        <w:rPr>
          <w:rFonts w:hint="eastAsia" w:ascii="仿宋_GB2312" w:hAnsi="仿宋_GB2312" w:eastAsia="仿宋_GB2312" w:cs="仿宋_GB2312"/>
          <w:szCs w:val="24"/>
        </w:rPr>
        <w:t>投标联合体需要结合现场情况，对于安装环境进行充分研判，对于可能出现冲突的地方予以分析并向业主方提出解决方案，供招标单位研判分析，此项工作完成情况，亦纳入技术评标评分，请各投标联合体充分考量；</w:t>
      </w:r>
    </w:p>
    <w:p>
      <w:pPr>
        <w:pStyle w:val="10"/>
        <w:spacing w:line="360" w:lineRule="auto"/>
        <w:ind w:firstLine="480" w:firstLineChars="200"/>
        <w:jc w:val="left"/>
        <w:rPr>
          <w:rFonts w:ascii="仿宋_GB2312" w:hAnsi="仿宋_GB2312" w:eastAsia="仿宋_GB2312" w:cs="仿宋_GB2312"/>
          <w:szCs w:val="24"/>
        </w:rPr>
      </w:pPr>
      <w:r>
        <w:rPr>
          <w:rFonts w:hint="eastAsia" w:ascii="仿宋_GB2312" w:hAnsi="仿宋_GB2312" w:eastAsia="仿宋_GB2312" w:cs="仿宋_GB2312"/>
          <w:szCs w:val="24"/>
        </w:rPr>
        <w:t>1.2.</w:t>
      </w:r>
      <w:r>
        <w:rPr>
          <w:rFonts w:hint="eastAsia" w:ascii="仿宋_GB2312" w:hAnsi="仿宋_GB2312" w:eastAsia="仿宋_GB2312" w:cs="仿宋_GB2312"/>
          <w:szCs w:val="24"/>
          <w:lang w:val="en-US" w:eastAsia="zh-CN"/>
        </w:rPr>
        <w:t>8</w:t>
      </w:r>
      <w:r>
        <w:rPr>
          <w:rFonts w:hint="eastAsia" w:ascii="仿宋_GB2312" w:hAnsi="仿宋_GB2312" w:eastAsia="仿宋_GB2312" w:cs="仿宋_GB2312"/>
          <w:szCs w:val="24"/>
        </w:rPr>
        <w:t>同时由于业主方个别设备尚未定标，其电源接驳位置可能会进行调整，投标联合体要能够给予及时的技术支持，并承诺进行及时跟进，业主方也会视工程量的增减及时予以澄清，投标联合体应配合业主方完成个别地方桥架的焊接优化工作；</w:t>
      </w:r>
    </w:p>
    <w:p>
      <w:pPr>
        <w:widowControl/>
        <w:spacing w:line="300" w:lineRule="auto"/>
        <w:ind w:firstLine="480" w:firstLineChars="200"/>
        <w:jc w:val="left"/>
        <w:rPr>
          <w:rFonts w:ascii="仿宋_GB2312" w:hAnsi="仿宋_GB2312" w:eastAsia="仿宋_GB2312" w:cs="仿宋_GB2312"/>
          <w:szCs w:val="24"/>
        </w:rPr>
      </w:pPr>
      <w:r>
        <w:rPr>
          <w:rFonts w:hint="eastAsia" w:ascii="仿宋_GB2312" w:hAnsi="仿宋_GB2312" w:eastAsia="仿宋_GB2312" w:cs="仿宋_GB2312"/>
          <w:sz w:val="24"/>
          <w:szCs w:val="24"/>
        </w:rPr>
        <w:t>1.2.</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为达到电缆桥架正常工作所需之人工、材料、工艺等无论是否在本技术规格中有明确要求，均被视为已包括在本承包合约工作范围之内。</w:t>
      </w:r>
    </w:p>
    <w:p>
      <w:pPr>
        <w:pStyle w:val="10"/>
        <w:spacing w:line="300" w:lineRule="auto"/>
        <w:ind w:firstLine="422" w:firstLineChars="200"/>
        <w:jc w:val="left"/>
        <w:outlineLvl w:val="1"/>
        <w:rPr>
          <w:rFonts w:ascii="仿宋_GB2312" w:hAnsi="仿宋_GB2312" w:eastAsia="仿宋_GB2312" w:cs="仿宋_GB2312"/>
          <w:b/>
        </w:rPr>
      </w:pPr>
      <w:r>
        <w:rPr>
          <w:rFonts w:hint="eastAsia" w:ascii="仿宋_GB2312" w:hAnsi="仿宋_GB2312" w:eastAsia="仿宋_GB2312" w:cs="仿宋_GB2312"/>
          <w:b/>
        </w:rPr>
        <w:t>1.3投标单位的资质及业绩等要求</w:t>
      </w:r>
      <w:bookmarkEnd w:id="8"/>
      <w:bookmarkEnd w:id="9"/>
      <w:bookmarkEnd w:id="10"/>
    </w:p>
    <w:p>
      <w:pPr>
        <w:pStyle w:val="10"/>
        <w:spacing w:line="300" w:lineRule="auto"/>
        <w:ind w:firstLine="482" w:firstLineChars="200"/>
        <w:jc w:val="left"/>
        <w:outlineLvl w:val="1"/>
        <w:rPr>
          <w:rFonts w:ascii="仿宋_GB2312" w:hAnsi="仿宋_GB2312" w:eastAsia="仿宋_GB2312" w:cs="仿宋_GB2312"/>
          <w:b/>
          <w:szCs w:val="24"/>
        </w:rPr>
      </w:pPr>
      <w:bookmarkStart w:id="11" w:name="_Toc15192"/>
      <w:bookmarkStart w:id="12" w:name="_Toc27394"/>
      <w:bookmarkStart w:id="13" w:name="_Toc10625_WPSOffice_Level2"/>
      <w:bookmarkStart w:id="14" w:name="_Toc23042"/>
      <w:bookmarkStart w:id="15" w:name="_Toc6591"/>
      <w:r>
        <w:rPr>
          <w:rFonts w:hint="eastAsia" w:ascii="仿宋_GB2312" w:hAnsi="仿宋_GB2312" w:eastAsia="仿宋_GB2312" w:cs="仿宋_GB2312"/>
          <w:b/>
          <w:szCs w:val="24"/>
        </w:rPr>
        <w:t>1.3投标联合体的资质及业绩等要求</w:t>
      </w:r>
      <w:bookmarkEnd w:id="11"/>
    </w:p>
    <w:p>
      <w:pPr>
        <w:pStyle w:val="26"/>
        <w:spacing w:line="300" w:lineRule="auto"/>
        <w:ind w:left="0" w:firstLine="480" w:firstLineChars="200"/>
        <w:rPr>
          <w:rFonts w:ascii="仿宋_GB2312" w:hAnsi="仿宋_GB2312" w:eastAsia="仿宋_GB2312" w:cs="仿宋_GB2312"/>
          <w:sz w:val="24"/>
        </w:rPr>
      </w:pPr>
      <w:r>
        <w:rPr>
          <w:rFonts w:hint="eastAsia" w:ascii="仿宋_GB2312" w:hAnsi="仿宋_GB2312" w:eastAsia="仿宋_GB2312" w:cs="仿宋_GB2312"/>
          <w:sz w:val="24"/>
        </w:rPr>
        <w:t>投标联合体须是能独立承担民事责任并具有招标项目经营资格的法人或其他组织，并具有有效的安全生产许可证，其注册资金</w:t>
      </w:r>
      <w:r>
        <w:rPr>
          <w:rFonts w:hint="eastAsia" w:ascii="微软雅黑" w:hAnsi="微软雅黑" w:eastAsia="微软雅黑" w:cs="微软雅黑"/>
          <w:sz w:val="24"/>
        </w:rPr>
        <w:t>均</w:t>
      </w:r>
      <w:r>
        <w:rPr>
          <w:rFonts w:hint="eastAsia" w:ascii="仿宋_GB2312" w:hAnsi="仿宋_GB2312" w:eastAsia="仿宋_GB2312" w:cs="仿宋_GB2312"/>
          <w:sz w:val="24"/>
        </w:rPr>
        <w:t>不低于</w:t>
      </w:r>
      <w:r>
        <w:rPr>
          <w:rFonts w:hint="eastAsia" w:ascii="仿宋_GB2312" w:hAnsi="仿宋_GB2312" w:eastAsia="仿宋_GB2312" w:cs="仿宋_GB2312"/>
          <w:sz w:val="24"/>
          <w:lang w:val="en-US" w:eastAsia="zh-CN"/>
        </w:rPr>
        <w:t>1</w:t>
      </w:r>
      <w:r>
        <w:rPr>
          <w:rFonts w:ascii="仿宋_GB2312" w:hAnsi="仿宋_GB2312" w:eastAsia="仿宋_GB2312" w:cs="仿宋_GB2312"/>
          <w:sz w:val="24"/>
        </w:rPr>
        <w:t>000</w:t>
      </w:r>
      <w:r>
        <w:rPr>
          <w:rFonts w:hint="eastAsia" w:ascii="仿宋_GB2312" w:hAnsi="仿宋_GB2312" w:eastAsia="仿宋_GB2312" w:cs="仿宋_GB2312"/>
          <w:sz w:val="24"/>
        </w:rPr>
        <w:t>万元人民币。投标联合体及其法定代表人、拟派本项目工程总承包项目经理、项目技术负责人未被列入全国法院失信被执行人名单。</w:t>
      </w:r>
    </w:p>
    <w:p>
      <w:pPr>
        <w:pStyle w:val="26"/>
        <w:spacing w:line="300" w:lineRule="auto"/>
        <w:ind w:left="0" w:firstLine="480" w:firstLineChars="200"/>
        <w:rPr>
          <w:rFonts w:ascii="微软雅黑" w:hAnsi="微软雅黑" w:eastAsia="微软雅黑" w:cs="微软雅黑"/>
          <w:sz w:val="24"/>
        </w:rPr>
      </w:pPr>
      <w:r>
        <w:rPr>
          <w:rFonts w:hint="eastAsia" w:ascii="仿宋_GB2312" w:hAnsi="仿宋_GB2312" w:eastAsia="仿宋_GB2312" w:cs="仿宋_GB2312"/>
          <w:sz w:val="24"/>
        </w:rPr>
        <w:t>投标联合体至少承担过</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项类似项目业绩。类似业绩指：2020年1月1日至今（以合同签订时间为准），合同内容须涵盖“桥架采购及或安装施工”内容，合同金额不低于300万元。其中能提供省、市级重点项目同类项目供货或施工有效业绩的，技术评标时会</w:t>
      </w:r>
      <w:r>
        <w:rPr>
          <w:rFonts w:hint="eastAsia" w:ascii="微软雅黑" w:hAnsi="微软雅黑" w:eastAsia="微软雅黑" w:cs="微软雅黑"/>
          <w:sz w:val="24"/>
        </w:rPr>
        <w:t>酌情加分。</w:t>
      </w:r>
    </w:p>
    <w:bookmarkEnd w:id="12"/>
    <w:bookmarkEnd w:id="13"/>
    <w:bookmarkEnd w:id="14"/>
    <w:bookmarkEnd w:id="15"/>
    <w:p>
      <w:pPr>
        <w:spacing w:line="420" w:lineRule="exact"/>
        <w:rPr>
          <w:rFonts w:ascii="等线" w:hAnsi="等线" w:eastAsia="等线"/>
          <w:b/>
          <w:bCs/>
          <w:color w:val="0070C0"/>
          <w:szCs w:val="21"/>
        </w:rPr>
      </w:pPr>
      <w:bookmarkStart w:id="16" w:name="_Toc6451"/>
      <w:bookmarkStart w:id="17" w:name="_Toc3187"/>
      <w:r>
        <w:rPr>
          <w:rFonts w:hint="eastAsia" w:ascii="等线" w:hAnsi="等线" w:eastAsia="等线"/>
          <w:b/>
          <w:bCs/>
          <w:color w:val="0070C0"/>
          <w:szCs w:val="21"/>
          <w:lang w:val="en-US" w:eastAsia="zh-CN"/>
        </w:rPr>
        <w:t>二</w:t>
      </w:r>
      <w:r>
        <w:rPr>
          <w:rFonts w:hint="eastAsia" w:ascii="等线" w:hAnsi="等线" w:eastAsia="等线"/>
          <w:b/>
          <w:bCs/>
          <w:color w:val="0070C0"/>
          <w:szCs w:val="21"/>
        </w:rPr>
        <w:t>、基本要求</w:t>
      </w:r>
      <w:bookmarkEnd w:id="16"/>
      <w:bookmarkEnd w:id="17"/>
      <w:r>
        <w:rPr>
          <w:rFonts w:hint="eastAsia" w:ascii="等线" w:hAnsi="等线" w:eastAsia="等线"/>
          <w:b/>
          <w:bCs/>
          <w:color w:val="0070C0"/>
          <w:szCs w:val="21"/>
        </w:rPr>
        <w:t xml:space="preserve"> </w:t>
      </w:r>
    </w:p>
    <w:p>
      <w:pPr>
        <w:spacing w:line="420" w:lineRule="exact"/>
        <w:ind w:firstLine="473" w:firstLineChars="225"/>
        <w:jc w:val="left"/>
        <w:rPr>
          <w:rFonts w:hint="eastAsia" w:ascii="等线" w:hAnsi="等线" w:eastAsia="等线"/>
          <w:szCs w:val="21"/>
          <w:lang w:val="en-US" w:eastAsia="zh-CN"/>
        </w:rPr>
      </w:pPr>
      <w:r>
        <w:rPr>
          <w:rFonts w:hint="eastAsia" w:ascii="等线" w:hAnsi="等线" w:eastAsia="等线"/>
          <w:szCs w:val="21"/>
          <w:lang w:val="en-US" w:eastAsia="zh-CN"/>
        </w:rPr>
        <w:t>详情见技术文件</w:t>
      </w:r>
    </w:p>
    <w:p>
      <w:pPr>
        <w:spacing w:line="420" w:lineRule="exact"/>
        <w:ind w:firstLine="141" w:firstLineChars="67"/>
        <w:jc w:val="left"/>
        <w:rPr>
          <w:rFonts w:ascii="等线" w:hAnsi="等线" w:eastAsia="等线"/>
          <w:b/>
          <w:bCs/>
          <w:color w:val="0070C0"/>
          <w:szCs w:val="21"/>
        </w:rPr>
      </w:pPr>
      <w:r>
        <w:rPr>
          <w:rFonts w:hint="eastAsia" w:ascii="等线" w:hAnsi="等线" w:eastAsia="等线"/>
          <w:b/>
          <w:bCs/>
          <w:color w:val="0070C0"/>
          <w:szCs w:val="21"/>
          <w:lang w:val="en-US" w:eastAsia="zh-CN"/>
        </w:rPr>
        <w:t>三</w:t>
      </w:r>
      <w:r>
        <w:rPr>
          <w:rFonts w:hint="eastAsia" w:ascii="等线" w:hAnsi="等线" w:eastAsia="等线"/>
          <w:b/>
          <w:bCs/>
          <w:color w:val="0070C0"/>
          <w:szCs w:val="21"/>
        </w:rPr>
        <w:t>、培训与售后服务承诺</w:t>
      </w:r>
    </w:p>
    <w:p>
      <w:pPr>
        <w:spacing w:line="420" w:lineRule="exact"/>
        <w:ind w:left="141" w:leftChars="67" w:firstLine="142"/>
        <w:jc w:val="left"/>
        <w:rPr>
          <w:rFonts w:ascii="等线" w:hAnsi="等线" w:eastAsia="等线"/>
          <w:szCs w:val="21"/>
        </w:rPr>
      </w:pPr>
      <w:r>
        <w:rPr>
          <w:rFonts w:hint="eastAsia" w:ascii="等线" w:hAnsi="等线" w:eastAsia="等线"/>
          <w:szCs w:val="21"/>
        </w:rPr>
        <w:t>1、卖方对设备安装指导、负责调试、现场检查与培训方面应做出计划安排和相应承诺，确保买方技术人员和操作员工能掌握设备相关性能、维护要领和操作要求。</w:t>
      </w:r>
    </w:p>
    <w:p>
      <w:pPr>
        <w:spacing w:line="420" w:lineRule="exact"/>
        <w:ind w:firstLine="283" w:firstLineChars="135"/>
        <w:jc w:val="left"/>
        <w:rPr>
          <w:rFonts w:ascii="等线" w:hAnsi="等线" w:eastAsia="等线"/>
          <w:szCs w:val="21"/>
        </w:rPr>
      </w:pPr>
      <w:r>
        <w:rPr>
          <w:rFonts w:ascii="等线" w:hAnsi="等线" w:eastAsia="等线"/>
          <w:szCs w:val="21"/>
        </w:rPr>
        <w:t>2</w:t>
      </w:r>
      <w:r>
        <w:rPr>
          <w:rFonts w:hint="eastAsia" w:ascii="等线" w:hAnsi="等线" w:eastAsia="等线"/>
          <w:szCs w:val="21"/>
        </w:rPr>
        <w:t>、对设备投入运行后，为确保设备连续正常运行，卖方应提供有关部件和及时来现场解决问题的服务承诺。</w:t>
      </w:r>
    </w:p>
    <w:p>
      <w:pPr>
        <w:spacing w:line="600" w:lineRule="exact"/>
        <w:ind w:firstLine="2800" w:firstLineChars="1000"/>
        <w:rPr>
          <w:rFonts w:ascii="宋体" w:hAnsi="宋体"/>
          <w:sz w:val="28"/>
          <w:szCs w:val="28"/>
        </w:rPr>
      </w:pPr>
    </w:p>
    <w:p>
      <w:pPr>
        <w:spacing w:line="420" w:lineRule="exact"/>
        <w:ind w:leftChars="-67" w:hanging="141" w:hangingChars="67"/>
        <w:jc w:val="left"/>
        <w:rPr>
          <w:rFonts w:ascii="等线" w:hAnsi="等线" w:eastAsia="等线"/>
          <w:b/>
          <w:bCs/>
          <w:color w:val="0070C0"/>
          <w:szCs w:val="21"/>
        </w:rPr>
      </w:pPr>
      <w:r>
        <w:rPr>
          <w:rFonts w:hint="eastAsia" w:ascii="等线" w:hAnsi="等线" w:eastAsia="等线"/>
          <w:b/>
          <w:bCs/>
          <w:color w:val="0070C0"/>
          <w:szCs w:val="21"/>
          <w:lang w:val="en-US" w:eastAsia="zh-CN"/>
        </w:rPr>
        <w:t>四</w:t>
      </w:r>
      <w:r>
        <w:rPr>
          <w:rFonts w:hint="eastAsia" w:ascii="等线" w:hAnsi="等线" w:eastAsia="等线"/>
          <w:b/>
          <w:bCs/>
          <w:color w:val="0070C0"/>
          <w:szCs w:val="21"/>
        </w:rPr>
        <w:t>、报价方式及交货期、付款方式：</w:t>
      </w:r>
    </w:p>
    <w:p>
      <w:pPr>
        <w:spacing w:line="400" w:lineRule="exact"/>
        <w:ind w:left="561" w:leftChars="267"/>
        <w:rPr>
          <w:color w:val="000000"/>
          <w:sz w:val="24"/>
        </w:rPr>
      </w:pPr>
      <w:r>
        <w:rPr>
          <w:rFonts w:hint="eastAsia"/>
          <w:color w:val="000000"/>
          <w:sz w:val="24"/>
        </w:rPr>
        <w:t>投标方报价应包含：设备价、调试费、包装，运输、保险费、工程施工费；设备质保期经验收调试合格后贰年。付款方式为：</w:t>
      </w:r>
      <w:r>
        <w:rPr>
          <w:rFonts w:hint="eastAsia"/>
          <w:color w:val="000000"/>
          <w:sz w:val="24"/>
          <w:u w:val="double"/>
        </w:rPr>
        <w:t>预付10%，到货并收到全额增值税发票支付40%，设备验收支付40%，设备质保金10%。</w:t>
      </w:r>
      <w:r>
        <w:rPr>
          <w:rFonts w:hint="eastAsia"/>
          <w:color w:val="000000"/>
          <w:sz w:val="24"/>
        </w:rPr>
        <w:t>若涉及不同付款方式，可在报价书内做商务偏离说明。</w:t>
      </w:r>
    </w:p>
    <w:p>
      <w:pPr>
        <w:spacing w:line="420" w:lineRule="exact"/>
        <w:ind w:leftChars="-67" w:hanging="141" w:hangingChars="67"/>
        <w:jc w:val="left"/>
        <w:rPr>
          <w:rFonts w:ascii="等线" w:hAnsi="等线" w:eastAsia="等线"/>
          <w:b/>
          <w:bCs/>
          <w:color w:val="0070C0"/>
          <w:szCs w:val="21"/>
        </w:rPr>
      </w:pPr>
      <w:r>
        <w:rPr>
          <w:rFonts w:hint="eastAsia" w:ascii="等线" w:hAnsi="等线" w:eastAsia="等线"/>
          <w:b/>
          <w:bCs/>
          <w:color w:val="0070C0"/>
          <w:szCs w:val="21"/>
          <w:lang w:val="en-US" w:eastAsia="zh-CN"/>
        </w:rPr>
        <w:t>五</w:t>
      </w:r>
      <w:r>
        <w:rPr>
          <w:rFonts w:hint="eastAsia" w:ascii="等线" w:hAnsi="等线" w:eastAsia="等线"/>
          <w:b/>
          <w:bCs/>
          <w:color w:val="0070C0"/>
          <w:szCs w:val="21"/>
        </w:rPr>
        <w:t>、 投标商需提供投标文件的内容</w:t>
      </w:r>
    </w:p>
    <w:p>
      <w:pPr>
        <w:widowControl/>
        <w:spacing w:before="156" w:beforeLines="50" w:line="400" w:lineRule="exact"/>
        <w:jc w:val="left"/>
        <w:rPr>
          <w:sz w:val="24"/>
        </w:rPr>
      </w:pPr>
      <w:r>
        <w:rPr>
          <w:rFonts w:hint="eastAsia"/>
          <w:sz w:val="24"/>
        </w:rPr>
        <w:t>1、企业资质文件</w:t>
      </w:r>
    </w:p>
    <w:p>
      <w:pPr>
        <w:spacing w:line="400" w:lineRule="exact"/>
        <w:ind w:left="561" w:leftChars="267"/>
        <w:rPr>
          <w:color w:val="000000"/>
          <w:sz w:val="24"/>
        </w:rPr>
      </w:pPr>
      <w:r>
        <w:rPr>
          <w:rFonts w:hint="eastAsia"/>
          <w:color w:val="000000"/>
          <w:sz w:val="24"/>
        </w:rPr>
        <w:t>提供：公司介绍文本、营业执照（三证合一）、银行开户许可证、法人授权委托书、投标对接人身份证复印件（务必备注联系方式）、财务审计报告、质量管理体系认证证书、行业/生产资质证书；报价公司对本次项目的专项授权及承诺书等有效资质证明（如：代理证书等）；最近</w:t>
      </w:r>
      <w:r>
        <w:rPr>
          <w:color w:val="000000"/>
          <w:sz w:val="24"/>
        </w:rPr>
        <w:t>3-5</w:t>
      </w:r>
      <w:r>
        <w:rPr>
          <w:rFonts w:hint="eastAsia"/>
          <w:color w:val="000000"/>
          <w:sz w:val="24"/>
        </w:rPr>
        <w:t>年内同类设备/系统的销售业绩表，用户名称、时间、联系方式及用户意见等。</w:t>
      </w:r>
      <w:r>
        <w:rPr>
          <w:color w:val="000000"/>
          <w:sz w:val="24"/>
        </w:rPr>
        <w:t xml:space="preserve"> </w:t>
      </w:r>
    </w:p>
    <w:p>
      <w:pPr>
        <w:spacing w:line="400" w:lineRule="exact"/>
        <w:rPr>
          <w:sz w:val="24"/>
        </w:rPr>
      </w:pPr>
      <w:r>
        <w:rPr>
          <w:rFonts w:hint="eastAsia"/>
          <w:sz w:val="24"/>
        </w:rPr>
        <w:t>2、技术文件：</w:t>
      </w:r>
    </w:p>
    <w:p>
      <w:pPr>
        <w:spacing w:line="400" w:lineRule="exact"/>
        <w:ind w:left="414" w:leftChars="197"/>
        <w:rPr>
          <w:sz w:val="24"/>
        </w:rPr>
      </w:pPr>
      <w:r>
        <w:rPr>
          <w:rFonts w:hint="eastAsia"/>
          <w:sz w:val="24"/>
        </w:rPr>
        <w:t>1、投标设备的制造标准；投标设备的技术规范书按招标设备的技术要求应详细说明设备配置、产商、核心配件/组件品牌和设备各部分性能特点，技术参数，外形图，部件的结构、材料，电控系统说明，随机备件清单，随机技术资料目录，技术服务承诺，质量保证承诺等</w:t>
      </w:r>
    </w:p>
    <w:p>
      <w:pPr>
        <w:spacing w:line="400" w:lineRule="exact"/>
        <w:ind w:left="414" w:leftChars="197"/>
        <w:rPr>
          <w:sz w:val="24"/>
        </w:rPr>
      </w:pPr>
      <w:r>
        <w:rPr>
          <w:sz w:val="24"/>
        </w:rPr>
        <w:t>2</w:t>
      </w:r>
      <w:r>
        <w:rPr>
          <w:rFonts w:hint="eastAsia"/>
          <w:sz w:val="24"/>
        </w:rPr>
        <w:t>、根据我司技术要求及后期技术答疑内容，明确所报材料：名称+材质+规格型号+处理工艺+数量等核心信息</w:t>
      </w:r>
    </w:p>
    <w:p>
      <w:pPr>
        <w:spacing w:line="400" w:lineRule="exact"/>
        <w:rPr>
          <w:sz w:val="24"/>
        </w:rPr>
      </w:pPr>
      <w:r>
        <w:rPr>
          <w:rFonts w:hint="eastAsia"/>
          <w:sz w:val="24"/>
        </w:rPr>
        <w:t>3、商务文件：</w:t>
      </w:r>
    </w:p>
    <w:p>
      <w:pPr>
        <w:spacing w:line="400" w:lineRule="exact"/>
        <w:ind w:left="420" w:leftChars="200"/>
        <w:rPr>
          <w:sz w:val="24"/>
        </w:rPr>
      </w:pPr>
      <w:r>
        <w:rPr>
          <w:rFonts w:hint="eastAsia"/>
          <w:sz w:val="24"/>
        </w:rPr>
        <w:t>投标设备的响应交货期；投标设备各组成部份（分项报价明细）、设备常用备品备件（明确品牌型号后分项报价）、；付款方式确认（明确付款比例+电汇/银承等）。</w:t>
      </w:r>
    </w:p>
    <w:p>
      <w:pPr>
        <w:widowControl/>
        <w:spacing w:before="156" w:beforeLines="50" w:line="400" w:lineRule="exact"/>
        <w:ind w:left="360" w:hanging="360" w:hangingChars="150"/>
        <w:jc w:val="left"/>
        <w:rPr>
          <w:sz w:val="24"/>
        </w:rPr>
      </w:pPr>
      <w:r>
        <w:rPr>
          <w:rFonts w:hint="eastAsia"/>
          <w:sz w:val="24"/>
        </w:rPr>
        <w:t>4</w:t>
      </w:r>
      <w:r>
        <w:rPr>
          <w:rFonts w:hint="eastAsia"/>
          <w:color w:val="FF0000"/>
          <w:sz w:val="24"/>
        </w:rPr>
        <w:t>、</w:t>
      </w:r>
      <w:r>
        <w:rPr>
          <w:rFonts w:hint="eastAsia"/>
          <w:b/>
          <w:bCs/>
          <w:color w:val="FF0000"/>
          <w:sz w:val="30"/>
          <w:szCs w:val="30"/>
        </w:rPr>
        <w:t>投标书正本二份，副本二份，投标文件须密封并在封口签字或加盖公章(需在快递外包袋上注明</w:t>
      </w:r>
      <w:r>
        <w:rPr>
          <w:rFonts w:hint="eastAsia"/>
          <w:b/>
          <w:bCs/>
          <w:color w:val="FF0000"/>
          <w:sz w:val="32"/>
          <w:szCs w:val="32"/>
          <w:u w:val="double"/>
        </w:rPr>
        <w:t>公司简称+标书</w:t>
      </w:r>
      <w:r>
        <w:rPr>
          <w:rFonts w:hint="eastAsia"/>
          <w:b/>
          <w:bCs/>
          <w:color w:val="FF0000"/>
          <w:sz w:val="30"/>
          <w:szCs w:val="30"/>
        </w:rPr>
        <w:t>字样)。</w:t>
      </w:r>
    </w:p>
    <w:p>
      <w:pPr>
        <w:widowControl/>
        <w:spacing w:before="156" w:beforeLines="50" w:line="400" w:lineRule="exact"/>
        <w:jc w:val="left"/>
        <w:rPr>
          <w:sz w:val="24"/>
        </w:rPr>
      </w:pPr>
      <w:r>
        <w:rPr>
          <w:rFonts w:hint="eastAsia"/>
          <w:sz w:val="24"/>
        </w:rPr>
        <w:t>注：商务标书与技术标分开装订，可并包快递或送达（商务报价独立密封+商务标书独立密封+技术标书独立密封=并包快递/送达）</w:t>
      </w:r>
    </w:p>
    <w:p>
      <w:pPr>
        <w:spacing w:line="420" w:lineRule="exact"/>
        <w:ind w:leftChars="-67" w:hanging="141" w:hangingChars="67"/>
        <w:jc w:val="left"/>
        <w:rPr>
          <w:rFonts w:ascii="等线" w:hAnsi="等线" w:eastAsia="等线"/>
          <w:b/>
          <w:bCs/>
          <w:color w:val="0070C0"/>
          <w:szCs w:val="21"/>
        </w:rPr>
      </w:pPr>
      <w:r>
        <w:rPr>
          <w:rFonts w:hint="eastAsia" w:ascii="等线" w:hAnsi="等线" w:eastAsia="等线"/>
          <w:b/>
          <w:bCs/>
          <w:color w:val="0070C0"/>
          <w:szCs w:val="21"/>
          <w:lang w:val="en-US" w:eastAsia="zh-CN"/>
        </w:rPr>
        <w:t>六</w:t>
      </w:r>
      <w:r>
        <w:rPr>
          <w:rFonts w:hint="eastAsia" w:ascii="等线" w:hAnsi="等线" w:eastAsia="等线"/>
          <w:b/>
          <w:bCs/>
          <w:color w:val="0070C0"/>
          <w:szCs w:val="21"/>
        </w:rPr>
        <w:t>、投标方需要说明的其它事项：</w:t>
      </w:r>
    </w:p>
    <w:p>
      <w:pPr>
        <w:spacing w:line="400" w:lineRule="exact"/>
        <w:ind w:left="501" w:leftChars="67" w:hanging="360" w:hangingChars="150"/>
        <w:rPr>
          <w:sz w:val="24"/>
        </w:rPr>
      </w:pPr>
      <w:r>
        <w:rPr>
          <w:rFonts w:hint="eastAsia"/>
          <w:sz w:val="24"/>
        </w:rPr>
        <w:t>1、本标书仅提供了招标设备的基本参数及要求，投标方不能因招标书的限定而免除对投标设备应满足招标方其它要求应承担的责任。</w:t>
      </w:r>
    </w:p>
    <w:p>
      <w:pPr>
        <w:spacing w:line="400" w:lineRule="exact"/>
        <w:ind w:firstLine="120" w:firstLineChars="50"/>
        <w:rPr>
          <w:sz w:val="24"/>
        </w:rPr>
      </w:pPr>
      <w:r>
        <w:rPr>
          <w:rFonts w:hint="eastAsia"/>
          <w:sz w:val="24"/>
        </w:rPr>
        <w:t>2、招标方在合同签定之前有权对设备采购数量和性能参数进行调整。</w:t>
      </w:r>
    </w:p>
    <w:p>
      <w:pPr>
        <w:spacing w:line="400" w:lineRule="exact"/>
        <w:ind w:left="501" w:leftChars="67" w:hanging="360" w:hangingChars="150"/>
        <w:rPr>
          <w:sz w:val="24"/>
        </w:rPr>
      </w:pPr>
      <w:r>
        <w:rPr>
          <w:rFonts w:hint="eastAsia"/>
          <w:sz w:val="24"/>
        </w:rPr>
        <w:t>3、</w:t>
      </w:r>
      <w:r>
        <w:rPr>
          <w:rFonts w:hint="eastAsia"/>
          <w:color w:val="FF0000"/>
          <w:sz w:val="24"/>
        </w:rPr>
        <w:t>本次招标项目截止时间为</w:t>
      </w:r>
      <w:r>
        <w:rPr>
          <w:rFonts w:hint="eastAsia"/>
          <w:color w:val="FF0000"/>
          <w:sz w:val="24"/>
          <w:u w:val="single"/>
        </w:rPr>
        <w:t>202</w:t>
      </w:r>
      <w:r>
        <w:rPr>
          <w:rFonts w:hint="eastAsia"/>
          <w:color w:val="FF0000"/>
          <w:sz w:val="24"/>
          <w:u w:val="single"/>
          <w:lang w:val="en-US" w:eastAsia="zh-CN"/>
        </w:rPr>
        <w:t>4</w:t>
      </w:r>
      <w:r>
        <w:rPr>
          <w:rFonts w:hint="eastAsia"/>
          <w:color w:val="FF0000"/>
          <w:sz w:val="24"/>
          <w:u w:val="single"/>
        </w:rPr>
        <w:t>年</w:t>
      </w:r>
      <w:r>
        <w:rPr>
          <w:rFonts w:hint="eastAsia"/>
          <w:color w:val="FF0000"/>
          <w:sz w:val="24"/>
          <w:u w:val="single"/>
          <w:lang w:val="en-US" w:eastAsia="zh-CN"/>
        </w:rPr>
        <w:t>5</w:t>
      </w:r>
      <w:r>
        <w:rPr>
          <w:rFonts w:hint="eastAsia"/>
          <w:color w:val="FF0000"/>
          <w:sz w:val="24"/>
          <w:u w:val="single"/>
        </w:rPr>
        <w:t>月1</w:t>
      </w:r>
      <w:bookmarkStart w:id="18" w:name="_GoBack"/>
      <w:bookmarkEnd w:id="18"/>
      <w:r>
        <w:rPr>
          <w:rFonts w:hint="eastAsia"/>
          <w:color w:val="FF0000"/>
          <w:sz w:val="24"/>
          <w:u w:val="single"/>
        </w:rPr>
        <w:t>5日17:</w:t>
      </w:r>
      <w:r>
        <w:rPr>
          <w:color w:val="FF0000"/>
          <w:sz w:val="24"/>
          <w:u w:val="single"/>
        </w:rPr>
        <w:t>00</w:t>
      </w:r>
      <w:r>
        <w:rPr>
          <w:rFonts w:hint="eastAsia"/>
          <w:color w:val="FF0000"/>
          <w:sz w:val="24"/>
        </w:rPr>
        <w:t>时,投标方将投标书以快件形式寄送/送达招标方</w:t>
      </w:r>
      <w:r>
        <w:rPr>
          <w:rFonts w:hint="eastAsia"/>
          <w:sz w:val="24"/>
        </w:rPr>
        <w:t xml:space="preserve">。   </w:t>
      </w:r>
    </w:p>
    <w:p>
      <w:pPr>
        <w:spacing w:line="400" w:lineRule="exact"/>
        <w:ind w:firstLine="120" w:firstLineChars="50"/>
        <w:rPr>
          <w:sz w:val="24"/>
        </w:rPr>
      </w:pPr>
      <w:r>
        <w:rPr>
          <w:rFonts w:hint="eastAsia"/>
          <w:sz w:val="24"/>
        </w:rPr>
        <w:t xml:space="preserve">4、本次招标开标时不邀请投标方派员参加。 </w:t>
      </w:r>
    </w:p>
    <w:p>
      <w:pPr>
        <w:spacing w:line="400" w:lineRule="exact"/>
        <w:ind w:left="501" w:leftChars="67" w:hanging="360" w:hangingChars="150"/>
        <w:rPr>
          <w:sz w:val="24"/>
        </w:rPr>
      </w:pPr>
      <w:r>
        <w:rPr>
          <w:rFonts w:hint="eastAsia"/>
          <w:sz w:val="24"/>
        </w:rPr>
        <w:t>5、届时由招标方邀请有关方面专家对标书进行评审，根据评审情况通知投标方对投标设备标书内容作进一步交流澄清，投标方就相关问题作书面承诺。</w:t>
      </w:r>
    </w:p>
    <w:p>
      <w:pPr>
        <w:spacing w:line="400" w:lineRule="exact"/>
        <w:ind w:left="501" w:leftChars="67" w:hanging="360" w:hangingChars="150"/>
        <w:rPr>
          <w:sz w:val="24"/>
        </w:rPr>
      </w:pPr>
      <w:r>
        <w:rPr>
          <w:rFonts w:hint="eastAsia"/>
          <w:sz w:val="24"/>
        </w:rPr>
        <w:t>6、招标方依据评审和答疑结果确定中标单位，并通知中标单位签订合同、技术协议等文件，对未中标单位招标方不作解释。</w:t>
      </w:r>
    </w:p>
    <w:p>
      <w:pPr>
        <w:spacing w:line="400" w:lineRule="exact"/>
        <w:ind w:left="501" w:leftChars="67" w:hanging="360" w:hangingChars="150"/>
        <w:rPr>
          <w:sz w:val="24"/>
        </w:rPr>
      </w:pPr>
      <w:r>
        <w:rPr>
          <w:sz w:val="24"/>
        </w:rPr>
        <w:t>7</w:t>
      </w:r>
      <w:r>
        <w:rPr>
          <w:rFonts w:hint="eastAsia"/>
          <w:sz w:val="24"/>
        </w:rPr>
        <w:t>、投标保证金:</w:t>
      </w:r>
      <w:r>
        <w:rPr>
          <w:sz w:val="24"/>
        </w:rPr>
        <w:t xml:space="preserve"> </w:t>
      </w:r>
      <w:r>
        <w:rPr>
          <w:rFonts w:hint="eastAsia"/>
          <w:sz w:val="24"/>
        </w:rPr>
        <w:t>伍万元整（人民币）</w:t>
      </w:r>
    </w:p>
    <w:p>
      <w:pPr>
        <w:spacing w:line="400" w:lineRule="exact"/>
        <w:ind w:left="619" w:leftChars="295" w:firstLine="120" w:firstLineChars="50"/>
        <w:rPr>
          <w:sz w:val="24"/>
        </w:rPr>
      </w:pPr>
      <w:r>
        <w:rPr>
          <w:rFonts w:hint="eastAsia"/>
          <w:sz w:val="24"/>
        </w:rPr>
        <w:t xml:space="preserve">户名：远东控股集团有限公司 </w:t>
      </w:r>
    </w:p>
    <w:p>
      <w:pPr>
        <w:spacing w:line="400" w:lineRule="exact"/>
        <w:ind w:left="619" w:leftChars="295" w:firstLine="120" w:firstLineChars="50"/>
        <w:rPr>
          <w:sz w:val="24"/>
        </w:rPr>
      </w:pPr>
      <w:r>
        <w:rPr>
          <w:rFonts w:hint="eastAsia"/>
          <w:sz w:val="24"/>
        </w:rPr>
        <w:t xml:space="preserve">账号：496276828622 </w:t>
      </w:r>
    </w:p>
    <w:p>
      <w:pPr>
        <w:spacing w:line="400" w:lineRule="exact"/>
        <w:ind w:left="619" w:leftChars="295" w:firstLine="120" w:firstLineChars="50"/>
        <w:rPr>
          <w:sz w:val="24"/>
        </w:rPr>
      </w:pPr>
      <w:r>
        <w:rPr>
          <w:rFonts w:hint="eastAsia"/>
          <w:sz w:val="24"/>
        </w:rPr>
        <w:t>开户行：中国银行宜兴官林支行</w:t>
      </w:r>
    </w:p>
    <w:p>
      <w:pPr>
        <w:spacing w:line="400" w:lineRule="exact"/>
        <w:ind w:left="619" w:leftChars="295" w:firstLine="120" w:firstLineChars="50"/>
        <w:rPr>
          <w:sz w:val="24"/>
        </w:rPr>
      </w:pPr>
      <w:r>
        <w:rPr>
          <w:rFonts w:hint="eastAsia"/>
          <w:sz w:val="24"/>
        </w:rPr>
        <w:t>行号：104302300200</w:t>
      </w:r>
    </w:p>
    <w:p>
      <w:pPr>
        <w:spacing w:line="400" w:lineRule="exact"/>
        <w:ind w:left="619" w:leftChars="295" w:firstLine="120" w:firstLineChars="50"/>
        <w:rPr>
          <w:sz w:val="24"/>
        </w:rPr>
      </w:pPr>
      <w:r>
        <w:rPr>
          <w:rFonts w:hint="eastAsia"/>
          <w:sz w:val="24"/>
        </w:rPr>
        <w:t xml:space="preserve">投标保证金付款方式：电汇 </w:t>
      </w:r>
      <w:r>
        <w:rPr>
          <w:sz w:val="24"/>
        </w:rPr>
        <w:t xml:space="preserve">/ </w:t>
      </w:r>
      <w:r>
        <w:rPr>
          <w:rFonts w:hint="eastAsia"/>
          <w:sz w:val="24"/>
        </w:rPr>
        <w:t>保函 均可</w:t>
      </w:r>
    </w:p>
    <w:p>
      <w:pPr>
        <w:spacing w:line="400" w:lineRule="exact"/>
        <w:ind w:left="501" w:leftChars="67" w:hanging="360" w:hangingChars="150"/>
        <w:rPr>
          <w:sz w:val="24"/>
        </w:rPr>
      </w:pPr>
      <w:r>
        <w:rPr>
          <w:rFonts w:hint="eastAsia"/>
          <w:sz w:val="24"/>
        </w:rPr>
        <w:t>汇款后请将银行底单扫描件发送至招标接收人并电话确认。</w:t>
      </w:r>
    </w:p>
    <w:p>
      <w:pPr>
        <w:spacing w:line="400" w:lineRule="exact"/>
        <w:ind w:left="501" w:leftChars="67" w:hanging="360" w:hangingChars="150"/>
        <w:rPr>
          <w:sz w:val="24"/>
        </w:rPr>
      </w:pPr>
      <w:r>
        <w:rPr>
          <w:rFonts w:hint="eastAsia"/>
          <w:sz w:val="24"/>
        </w:rPr>
        <w:t>六、 标书接收形式及方式</w:t>
      </w:r>
    </w:p>
    <w:p>
      <w:pPr>
        <w:spacing w:line="400" w:lineRule="exact"/>
        <w:ind w:left="501" w:leftChars="67" w:hanging="360" w:hangingChars="150"/>
        <w:rPr>
          <w:sz w:val="24"/>
        </w:rPr>
      </w:pPr>
    </w:p>
    <w:p>
      <w:pPr>
        <w:rPr>
          <w:sz w:val="24"/>
        </w:rPr>
      </w:pPr>
      <w:r>
        <w:rPr>
          <w:rFonts w:hint="eastAsia"/>
          <w:sz w:val="24"/>
        </w:rPr>
        <w:t>标书接收人：徐云飞   1</w:t>
      </w:r>
      <w:r>
        <w:rPr>
          <w:rFonts w:hint="eastAsia"/>
          <w:sz w:val="24"/>
          <w:lang w:val="en-US" w:eastAsia="zh-CN"/>
        </w:rPr>
        <w:t>8861775801</w:t>
      </w:r>
      <w:r>
        <w:rPr>
          <w:rFonts w:hint="eastAsia"/>
          <w:sz w:val="24"/>
        </w:rPr>
        <w:t xml:space="preserve">   </w:t>
      </w:r>
      <w:r>
        <w:rPr>
          <w:sz w:val="24"/>
        </w:rPr>
        <w:t>0510-8724</w:t>
      </w:r>
      <w:r>
        <w:rPr>
          <w:rFonts w:hint="eastAsia"/>
          <w:sz w:val="24"/>
        </w:rPr>
        <w:t>—</w:t>
      </w:r>
      <w:r>
        <w:rPr>
          <w:sz w:val="24"/>
        </w:rPr>
        <w:t>8115/4889</w:t>
      </w:r>
      <w:r>
        <w:rPr>
          <w:rFonts w:hint="eastAsia"/>
          <w:sz w:val="24"/>
        </w:rPr>
        <w:t xml:space="preserve"> </w:t>
      </w:r>
      <w:r>
        <w:rPr>
          <w:sz w:val="24"/>
        </w:rPr>
        <w:t xml:space="preserve"> </w:t>
      </w:r>
      <w:r>
        <w:fldChar w:fldCharType="begin"/>
      </w:r>
      <w:r>
        <w:instrText xml:space="preserve">HYPERLINK "mailto:055695@600869.com" </w:instrText>
      </w:r>
      <w:r>
        <w:fldChar w:fldCharType="separate"/>
      </w:r>
      <w:r>
        <w:rPr>
          <w:rStyle w:val="19"/>
          <w:sz w:val="24"/>
        </w:rPr>
        <w:t>0</w:t>
      </w:r>
      <w:r>
        <w:rPr>
          <w:rStyle w:val="19"/>
          <w:rFonts w:hint="eastAsia"/>
          <w:sz w:val="24"/>
        </w:rPr>
        <w:t>57142</w:t>
      </w:r>
      <w:r>
        <w:rPr>
          <w:rStyle w:val="19"/>
          <w:sz w:val="24"/>
        </w:rPr>
        <w:t>@600869.com</w:t>
      </w:r>
      <w:r>
        <w:fldChar w:fldCharType="end"/>
      </w:r>
    </w:p>
    <w:p>
      <w:pPr>
        <w:rPr>
          <w:sz w:val="24"/>
        </w:rPr>
      </w:pPr>
    </w:p>
    <w:p>
      <w:pPr>
        <w:rPr>
          <w:sz w:val="24"/>
        </w:rPr>
      </w:pPr>
      <w:r>
        <w:rPr>
          <w:rFonts w:hint="eastAsia"/>
          <w:sz w:val="24"/>
        </w:rPr>
        <w:t>技术答疑人：蒋南平   18861586889</w:t>
      </w:r>
      <w:r>
        <w:rPr>
          <w:sz w:val="24"/>
        </w:rPr>
        <w:t xml:space="preserve">  </w:t>
      </w:r>
      <w:r>
        <w:rPr>
          <w:rFonts w:hint="eastAsia"/>
          <w:sz w:val="24"/>
        </w:rPr>
        <w:t xml:space="preserve">072488@600869.com </w:t>
      </w:r>
      <w:r>
        <w:rPr>
          <w:sz w:val="24"/>
        </w:rPr>
        <w:t xml:space="preserve">          </w:t>
      </w:r>
    </w:p>
    <w:p>
      <w:pPr>
        <w:rPr>
          <w:sz w:val="24"/>
        </w:rPr>
      </w:pPr>
      <w:r>
        <w:rPr>
          <w:rFonts w:hint="eastAsia"/>
          <w:sz w:val="24"/>
        </w:rPr>
        <w:t xml:space="preserve">标书接收地址：远东买卖宝网络科技有限公司 </w:t>
      </w:r>
      <w:r>
        <w:rPr>
          <w:sz w:val="24"/>
        </w:rPr>
        <w:t>3F</w:t>
      </w:r>
    </w:p>
    <w:p>
      <w:pPr>
        <w:ind w:firstLine="1920" w:firstLineChars="800"/>
        <w:rPr>
          <w:sz w:val="24"/>
        </w:rPr>
      </w:pPr>
      <w:r>
        <w:rPr>
          <w:rFonts w:hint="eastAsia"/>
          <w:sz w:val="24"/>
        </w:rPr>
        <w:t>宜兴市高塍范道远东路2</w:t>
      </w:r>
      <w:r>
        <w:rPr>
          <w:sz w:val="24"/>
        </w:rPr>
        <w:t>9</w:t>
      </w:r>
      <w:r>
        <w:rPr>
          <w:rFonts w:hint="eastAsia"/>
          <w:sz w:val="24"/>
        </w:rPr>
        <w:t>号</w:t>
      </w:r>
    </w:p>
    <w:p>
      <w:pPr>
        <w:ind w:firstLine="2640" w:firstLineChars="1100"/>
        <w:rPr>
          <w:rFonts w:ascii="宋体" w:hAnsi="宋体" w:cs="Courier New"/>
          <w:b/>
          <w:color w:val="000000"/>
          <w:sz w:val="36"/>
          <w:szCs w:val="36"/>
        </w:rPr>
      </w:pPr>
      <w:r>
        <w:rPr>
          <w:rFonts w:hint="eastAsia"/>
          <w:sz w:val="24"/>
        </w:rPr>
        <w:t xml:space="preserve">采购服务部 </w:t>
      </w:r>
    </w:p>
    <w:p>
      <w:pPr>
        <w:spacing w:line="360" w:lineRule="exact"/>
        <w:ind w:left="480" w:hanging="480" w:hangingChars="200"/>
        <w:rPr>
          <w:color w:val="0000FF"/>
          <w:sz w:val="24"/>
          <w:u w:val="single"/>
        </w:rPr>
      </w:pPr>
    </w:p>
    <w:p>
      <w:pPr>
        <w:spacing w:line="360" w:lineRule="auto"/>
        <w:jc w:val="center"/>
        <w:rPr>
          <w:sz w:val="24"/>
        </w:rPr>
      </w:pPr>
    </w:p>
    <w:sectPr>
      <w:footerReference r:id="rId4" w:type="default"/>
      <w:pgSz w:w="11906" w:h="16838"/>
      <w:pgMar w:top="1418" w:right="1133" w:bottom="1135" w:left="900" w:header="851" w:footer="50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方正小标宋简体">
    <w:altName w:val="微软雅黑"/>
    <w:panose1 w:val="00000000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center"/>
      <w:rPr>
        <w:rFonts w:ascii="宋体"/>
        <w:sz w:val="24"/>
        <w:szCs w:val="24"/>
      </w:rPr>
    </w:pPr>
    <w:r>
      <w:rPr>
        <w:rStyle w:val="18"/>
        <w:rFonts w:ascii="宋体" w:hAnsi="宋体"/>
        <w:sz w:val="24"/>
        <w:szCs w:val="24"/>
      </w:rPr>
      <w:fldChar w:fldCharType="begin"/>
    </w:r>
    <w:r>
      <w:rPr>
        <w:rStyle w:val="18"/>
        <w:rFonts w:ascii="宋体" w:hAnsi="宋体"/>
        <w:sz w:val="24"/>
        <w:szCs w:val="24"/>
      </w:rPr>
      <w:instrText xml:space="preserve"> PAGE </w:instrText>
    </w:r>
    <w:r>
      <w:rPr>
        <w:rStyle w:val="18"/>
        <w:rFonts w:ascii="宋体" w:hAnsi="宋体"/>
        <w:sz w:val="24"/>
        <w:szCs w:val="24"/>
      </w:rPr>
      <w:fldChar w:fldCharType="separate"/>
    </w:r>
    <w:r>
      <w:rPr>
        <w:rStyle w:val="18"/>
        <w:rFonts w:ascii="宋体" w:hAnsi="宋体"/>
        <w:sz w:val="24"/>
        <w:szCs w:val="24"/>
      </w:rPr>
      <w:t>4</w:t>
    </w:r>
    <w:r>
      <w:rPr>
        <w:rStyle w:val="18"/>
        <w:rFonts w:ascii="宋体" w:hAnsi="宋体"/>
        <w:sz w:val="24"/>
        <w:szCs w:val="24"/>
      </w:rPr>
      <w:fldChar w:fldCharType="end"/>
    </w:r>
    <w:r>
      <w:rPr>
        <w:rStyle w:val="18"/>
        <w:rFonts w:ascii="宋体" w:hAnsi="宋体"/>
        <w:sz w:val="24"/>
        <w:szCs w:val="24"/>
      </w:rPr>
      <w:t>/</w:t>
    </w:r>
    <w:r>
      <w:rPr>
        <w:rStyle w:val="18"/>
        <w:rFonts w:ascii="宋体" w:hAnsi="宋体"/>
        <w:sz w:val="24"/>
        <w:szCs w:val="24"/>
      </w:rPr>
      <w:fldChar w:fldCharType="begin"/>
    </w:r>
    <w:r>
      <w:rPr>
        <w:rStyle w:val="18"/>
        <w:rFonts w:ascii="宋体" w:hAnsi="宋体"/>
        <w:sz w:val="24"/>
        <w:szCs w:val="24"/>
      </w:rPr>
      <w:instrText xml:space="preserve"> NUMPAGES </w:instrText>
    </w:r>
    <w:r>
      <w:rPr>
        <w:rStyle w:val="18"/>
        <w:rFonts w:ascii="宋体" w:hAnsi="宋体"/>
        <w:sz w:val="24"/>
        <w:szCs w:val="24"/>
      </w:rPr>
      <w:fldChar w:fldCharType="separate"/>
    </w:r>
    <w:r>
      <w:rPr>
        <w:rStyle w:val="18"/>
        <w:rFonts w:ascii="宋体" w:hAnsi="宋体"/>
        <w:sz w:val="24"/>
        <w:szCs w:val="24"/>
      </w:rPr>
      <w:t>37</w:t>
    </w:r>
    <w:r>
      <w:rPr>
        <w:rStyle w:val="18"/>
        <w:rFonts w:ascii="宋体" w:hAnsi="宋体"/>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7">
    <w:nsid w:val="FFFFFF7F"/>
    <w:multiLevelType w:val="singleLevel"/>
    <w:tmpl w:val="FFFFFF7F"/>
    <w:lvl w:ilvl="0" w:tentative="1">
      <w:start w:val="1"/>
      <w:numFmt w:val="decimal"/>
      <w:pStyle w:val="7"/>
      <w:lvlText w:val="%1."/>
      <w:lvlJc w:val="left"/>
      <w:pPr>
        <w:tabs>
          <w:tab w:val="left" w:pos="780"/>
        </w:tabs>
        <w:ind w:left="780" w:hanging="360"/>
      </w:pPr>
    </w:lvl>
  </w:abstractNum>
  <w:num w:numId="1">
    <w:abstractNumId w:val="4294967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RhYjZjNzkwMDkwOGUyODFkYjlhNGQzMmNjYTdhNTEifQ=="/>
  </w:docVars>
  <w:rsids>
    <w:rsidRoot w:val="00C457B2"/>
    <w:rsid w:val="00002805"/>
    <w:rsid w:val="00003BF8"/>
    <w:rsid w:val="00004B73"/>
    <w:rsid w:val="00005FEA"/>
    <w:rsid w:val="00012CEB"/>
    <w:rsid w:val="00016803"/>
    <w:rsid w:val="000175CD"/>
    <w:rsid w:val="000219CC"/>
    <w:rsid w:val="00025AEA"/>
    <w:rsid w:val="00025D17"/>
    <w:rsid w:val="0004042A"/>
    <w:rsid w:val="00045BFA"/>
    <w:rsid w:val="00052577"/>
    <w:rsid w:val="00096FA3"/>
    <w:rsid w:val="000B0749"/>
    <w:rsid w:val="000C452A"/>
    <w:rsid w:val="000C7BB7"/>
    <w:rsid w:val="000D232F"/>
    <w:rsid w:val="000E0EC6"/>
    <w:rsid w:val="000E2660"/>
    <w:rsid w:val="000F0F0F"/>
    <w:rsid w:val="00102BD1"/>
    <w:rsid w:val="00103217"/>
    <w:rsid w:val="00110DBB"/>
    <w:rsid w:val="001160A5"/>
    <w:rsid w:val="00121B46"/>
    <w:rsid w:val="00124019"/>
    <w:rsid w:val="001320CF"/>
    <w:rsid w:val="0013270E"/>
    <w:rsid w:val="0013337A"/>
    <w:rsid w:val="001357C0"/>
    <w:rsid w:val="00136772"/>
    <w:rsid w:val="00145DBA"/>
    <w:rsid w:val="0015536F"/>
    <w:rsid w:val="0016186A"/>
    <w:rsid w:val="00170E6A"/>
    <w:rsid w:val="00183FEA"/>
    <w:rsid w:val="00197391"/>
    <w:rsid w:val="001B37BD"/>
    <w:rsid w:val="001C1CC2"/>
    <w:rsid w:val="001D00A6"/>
    <w:rsid w:val="001D180C"/>
    <w:rsid w:val="001D365E"/>
    <w:rsid w:val="001E05F1"/>
    <w:rsid w:val="001E0DE1"/>
    <w:rsid w:val="001E1452"/>
    <w:rsid w:val="001E404F"/>
    <w:rsid w:val="001E4BCE"/>
    <w:rsid w:val="001E67B5"/>
    <w:rsid w:val="001F0BF7"/>
    <w:rsid w:val="001F12F7"/>
    <w:rsid w:val="001F2661"/>
    <w:rsid w:val="001F4167"/>
    <w:rsid w:val="0020704A"/>
    <w:rsid w:val="00207EFE"/>
    <w:rsid w:val="0021031D"/>
    <w:rsid w:val="0022118F"/>
    <w:rsid w:val="0022182C"/>
    <w:rsid w:val="00230471"/>
    <w:rsid w:val="00230585"/>
    <w:rsid w:val="00235A96"/>
    <w:rsid w:val="00242DB1"/>
    <w:rsid w:val="002434C0"/>
    <w:rsid w:val="00246D50"/>
    <w:rsid w:val="002543D3"/>
    <w:rsid w:val="00265A8B"/>
    <w:rsid w:val="00270E94"/>
    <w:rsid w:val="00271C29"/>
    <w:rsid w:val="00272A31"/>
    <w:rsid w:val="00274ADB"/>
    <w:rsid w:val="002837AD"/>
    <w:rsid w:val="002913F7"/>
    <w:rsid w:val="00296601"/>
    <w:rsid w:val="002A4699"/>
    <w:rsid w:val="002A5E3E"/>
    <w:rsid w:val="002B2B6C"/>
    <w:rsid w:val="002B42F7"/>
    <w:rsid w:val="002B4E61"/>
    <w:rsid w:val="002C1E73"/>
    <w:rsid w:val="002C7C7F"/>
    <w:rsid w:val="002D5F97"/>
    <w:rsid w:val="002E063E"/>
    <w:rsid w:val="002E3F54"/>
    <w:rsid w:val="00303328"/>
    <w:rsid w:val="003049DA"/>
    <w:rsid w:val="00304C7A"/>
    <w:rsid w:val="00313A54"/>
    <w:rsid w:val="00321A4A"/>
    <w:rsid w:val="00322244"/>
    <w:rsid w:val="00334539"/>
    <w:rsid w:val="00335365"/>
    <w:rsid w:val="00351972"/>
    <w:rsid w:val="00351E4F"/>
    <w:rsid w:val="00360CF5"/>
    <w:rsid w:val="00364470"/>
    <w:rsid w:val="00381827"/>
    <w:rsid w:val="0039687C"/>
    <w:rsid w:val="003A0082"/>
    <w:rsid w:val="003A1E19"/>
    <w:rsid w:val="003B12A3"/>
    <w:rsid w:val="003B4FFB"/>
    <w:rsid w:val="003C22F5"/>
    <w:rsid w:val="003C5C90"/>
    <w:rsid w:val="003D23F1"/>
    <w:rsid w:val="003D35D7"/>
    <w:rsid w:val="003E13CC"/>
    <w:rsid w:val="003E34D1"/>
    <w:rsid w:val="003F5817"/>
    <w:rsid w:val="003F7D63"/>
    <w:rsid w:val="004055DD"/>
    <w:rsid w:val="00405876"/>
    <w:rsid w:val="004148B8"/>
    <w:rsid w:val="00420F1E"/>
    <w:rsid w:val="00422A3D"/>
    <w:rsid w:val="004320E7"/>
    <w:rsid w:val="004323A1"/>
    <w:rsid w:val="00451CCB"/>
    <w:rsid w:val="00453361"/>
    <w:rsid w:val="00461B99"/>
    <w:rsid w:val="004643C1"/>
    <w:rsid w:val="004706AB"/>
    <w:rsid w:val="00473E2B"/>
    <w:rsid w:val="00474E46"/>
    <w:rsid w:val="00485C47"/>
    <w:rsid w:val="00487FEA"/>
    <w:rsid w:val="00492D8D"/>
    <w:rsid w:val="004B53BE"/>
    <w:rsid w:val="004D66FC"/>
    <w:rsid w:val="004E08D4"/>
    <w:rsid w:val="004F0285"/>
    <w:rsid w:val="004F56F0"/>
    <w:rsid w:val="004F5B83"/>
    <w:rsid w:val="005141AE"/>
    <w:rsid w:val="00516B85"/>
    <w:rsid w:val="00516D22"/>
    <w:rsid w:val="00520F72"/>
    <w:rsid w:val="00523D06"/>
    <w:rsid w:val="00527FB7"/>
    <w:rsid w:val="00551EDC"/>
    <w:rsid w:val="00553821"/>
    <w:rsid w:val="00564DD2"/>
    <w:rsid w:val="00566C26"/>
    <w:rsid w:val="00571360"/>
    <w:rsid w:val="00585485"/>
    <w:rsid w:val="00590E6A"/>
    <w:rsid w:val="005B268D"/>
    <w:rsid w:val="005B6C04"/>
    <w:rsid w:val="005C2F89"/>
    <w:rsid w:val="005C367D"/>
    <w:rsid w:val="005D4CBB"/>
    <w:rsid w:val="005E2988"/>
    <w:rsid w:val="005F3551"/>
    <w:rsid w:val="00611967"/>
    <w:rsid w:val="0061504E"/>
    <w:rsid w:val="00635735"/>
    <w:rsid w:val="00645511"/>
    <w:rsid w:val="00653B7C"/>
    <w:rsid w:val="00654E6D"/>
    <w:rsid w:val="0066396F"/>
    <w:rsid w:val="00675D58"/>
    <w:rsid w:val="0068409B"/>
    <w:rsid w:val="00684918"/>
    <w:rsid w:val="00684C4D"/>
    <w:rsid w:val="006856E0"/>
    <w:rsid w:val="00686513"/>
    <w:rsid w:val="0069606B"/>
    <w:rsid w:val="00696ED1"/>
    <w:rsid w:val="006B77AF"/>
    <w:rsid w:val="006D6C03"/>
    <w:rsid w:val="006E0D46"/>
    <w:rsid w:val="006E1ECC"/>
    <w:rsid w:val="006E4CBF"/>
    <w:rsid w:val="006F136A"/>
    <w:rsid w:val="0072514A"/>
    <w:rsid w:val="00733A58"/>
    <w:rsid w:val="007401BD"/>
    <w:rsid w:val="007409FA"/>
    <w:rsid w:val="00741C0D"/>
    <w:rsid w:val="007443E5"/>
    <w:rsid w:val="00745C04"/>
    <w:rsid w:val="00747300"/>
    <w:rsid w:val="00752506"/>
    <w:rsid w:val="00752584"/>
    <w:rsid w:val="00754B17"/>
    <w:rsid w:val="007607A5"/>
    <w:rsid w:val="00774A88"/>
    <w:rsid w:val="007769A9"/>
    <w:rsid w:val="007907A3"/>
    <w:rsid w:val="00790C20"/>
    <w:rsid w:val="00792178"/>
    <w:rsid w:val="00794B9A"/>
    <w:rsid w:val="007963C5"/>
    <w:rsid w:val="007975F1"/>
    <w:rsid w:val="007A32C8"/>
    <w:rsid w:val="007B58A9"/>
    <w:rsid w:val="007B5A2C"/>
    <w:rsid w:val="007D4EE9"/>
    <w:rsid w:val="007E35B1"/>
    <w:rsid w:val="007E5A4B"/>
    <w:rsid w:val="007E7536"/>
    <w:rsid w:val="00810DE3"/>
    <w:rsid w:val="00813BEC"/>
    <w:rsid w:val="00815F0B"/>
    <w:rsid w:val="00820AFD"/>
    <w:rsid w:val="00826922"/>
    <w:rsid w:val="00827A7D"/>
    <w:rsid w:val="008450A6"/>
    <w:rsid w:val="00861F8D"/>
    <w:rsid w:val="008639DB"/>
    <w:rsid w:val="008642E8"/>
    <w:rsid w:val="0087121A"/>
    <w:rsid w:val="00887E41"/>
    <w:rsid w:val="008A0E58"/>
    <w:rsid w:val="008A1CD0"/>
    <w:rsid w:val="008A3FCE"/>
    <w:rsid w:val="008A4691"/>
    <w:rsid w:val="008B51D7"/>
    <w:rsid w:val="008D03E4"/>
    <w:rsid w:val="008D05A5"/>
    <w:rsid w:val="008D1E2D"/>
    <w:rsid w:val="008D5639"/>
    <w:rsid w:val="008D6072"/>
    <w:rsid w:val="008F4987"/>
    <w:rsid w:val="00900478"/>
    <w:rsid w:val="00905791"/>
    <w:rsid w:val="009106DE"/>
    <w:rsid w:val="00922F90"/>
    <w:rsid w:val="00925581"/>
    <w:rsid w:val="009321C7"/>
    <w:rsid w:val="00936681"/>
    <w:rsid w:val="00940EFE"/>
    <w:rsid w:val="00945482"/>
    <w:rsid w:val="009458F8"/>
    <w:rsid w:val="0095325D"/>
    <w:rsid w:val="00964B34"/>
    <w:rsid w:val="009803AB"/>
    <w:rsid w:val="009830BF"/>
    <w:rsid w:val="00983AD0"/>
    <w:rsid w:val="009862B0"/>
    <w:rsid w:val="009876FC"/>
    <w:rsid w:val="0099347D"/>
    <w:rsid w:val="009954F4"/>
    <w:rsid w:val="009A5E59"/>
    <w:rsid w:val="009B3E54"/>
    <w:rsid w:val="009D51E3"/>
    <w:rsid w:val="009D52BA"/>
    <w:rsid w:val="009D5795"/>
    <w:rsid w:val="009D57AB"/>
    <w:rsid w:val="009E07FE"/>
    <w:rsid w:val="009E0B4C"/>
    <w:rsid w:val="009E2007"/>
    <w:rsid w:val="009F1792"/>
    <w:rsid w:val="009F7BF6"/>
    <w:rsid w:val="00A01198"/>
    <w:rsid w:val="00A03556"/>
    <w:rsid w:val="00A10CA3"/>
    <w:rsid w:val="00A125B1"/>
    <w:rsid w:val="00A1547D"/>
    <w:rsid w:val="00A221B1"/>
    <w:rsid w:val="00A315A8"/>
    <w:rsid w:val="00A33321"/>
    <w:rsid w:val="00A4034B"/>
    <w:rsid w:val="00A52FA9"/>
    <w:rsid w:val="00A67B7A"/>
    <w:rsid w:val="00A941EC"/>
    <w:rsid w:val="00AB0604"/>
    <w:rsid w:val="00AB11AA"/>
    <w:rsid w:val="00AB4524"/>
    <w:rsid w:val="00AC6D18"/>
    <w:rsid w:val="00AD4D0A"/>
    <w:rsid w:val="00AE5765"/>
    <w:rsid w:val="00AE75C4"/>
    <w:rsid w:val="00B0208B"/>
    <w:rsid w:val="00B20742"/>
    <w:rsid w:val="00B318CB"/>
    <w:rsid w:val="00B31B5E"/>
    <w:rsid w:val="00B33068"/>
    <w:rsid w:val="00B3363B"/>
    <w:rsid w:val="00B51313"/>
    <w:rsid w:val="00B51558"/>
    <w:rsid w:val="00B57785"/>
    <w:rsid w:val="00B57DFD"/>
    <w:rsid w:val="00B8210F"/>
    <w:rsid w:val="00B83C4B"/>
    <w:rsid w:val="00B941EB"/>
    <w:rsid w:val="00BA4EE4"/>
    <w:rsid w:val="00BB26CA"/>
    <w:rsid w:val="00BC263D"/>
    <w:rsid w:val="00BC5F37"/>
    <w:rsid w:val="00BD5BD9"/>
    <w:rsid w:val="00BD5C2B"/>
    <w:rsid w:val="00BE6B5B"/>
    <w:rsid w:val="00BF236F"/>
    <w:rsid w:val="00BF2EC2"/>
    <w:rsid w:val="00BF68EA"/>
    <w:rsid w:val="00C01909"/>
    <w:rsid w:val="00C04C2F"/>
    <w:rsid w:val="00C125BC"/>
    <w:rsid w:val="00C201F9"/>
    <w:rsid w:val="00C24509"/>
    <w:rsid w:val="00C3763F"/>
    <w:rsid w:val="00C457B2"/>
    <w:rsid w:val="00C54FA3"/>
    <w:rsid w:val="00C55FCC"/>
    <w:rsid w:val="00C649B1"/>
    <w:rsid w:val="00C832C6"/>
    <w:rsid w:val="00C87039"/>
    <w:rsid w:val="00C9133D"/>
    <w:rsid w:val="00C935BF"/>
    <w:rsid w:val="00C95FA3"/>
    <w:rsid w:val="00C963B1"/>
    <w:rsid w:val="00CA1B49"/>
    <w:rsid w:val="00CB4918"/>
    <w:rsid w:val="00CB4A83"/>
    <w:rsid w:val="00CB68D9"/>
    <w:rsid w:val="00CC7CD0"/>
    <w:rsid w:val="00CD1032"/>
    <w:rsid w:val="00CD3E97"/>
    <w:rsid w:val="00CE0374"/>
    <w:rsid w:val="00CE7480"/>
    <w:rsid w:val="00CF03EA"/>
    <w:rsid w:val="00CF278F"/>
    <w:rsid w:val="00D012C6"/>
    <w:rsid w:val="00D04393"/>
    <w:rsid w:val="00D12E14"/>
    <w:rsid w:val="00D274E5"/>
    <w:rsid w:val="00D30B5B"/>
    <w:rsid w:val="00D31ACF"/>
    <w:rsid w:val="00D353B8"/>
    <w:rsid w:val="00D3597F"/>
    <w:rsid w:val="00D44E0C"/>
    <w:rsid w:val="00D44FE7"/>
    <w:rsid w:val="00D56165"/>
    <w:rsid w:val="00D57F3A"/>
    <w:rsid w:val="00DA018F"/>
    <w:rsid w:val="00DA0E43"/>
    <w:rsid w:val="00DA1802"/>
    <w:rsid w:val="00DA3B5A"/>
    <w:rsid w:val="00DA40FB"/>
    <w:rsid w:val="00DB080A"/>
    <w:rsid w:val="00DB2B69"/>
    <w:rsid w:val="00DB4563"/>
    <w:rsid w:val="00DB7B35"/>
    <w:rsid w:val="00DD0A35"/>
    <w:rsid w:val="00DD44C9"/>
    <w:rsid w:val="00DE271A"/>
    <w:rsid w:val="00DE3610"/>
    <w:rsid w:val="00DE463A"/>
    <w:rsid w:val="00DF62B9"/>
    <w:rsid w:val="00DF7D34"/>
    <w:rsid w:val="00E02BC0"/>
    <w:rsid w:val="00E03A47"/>
    <w:rsid w:val="00E0438F"/>
    <w:rsid w:val="00E10683"/>
    <w:rsid w:val="00E14D3A"/>
    <w:rsid w:val="00E221A7"/>
    <w:rsid w:val="00E2631F"/>
    <w:rsid w:val="00E32263"/>
    <w:rsid w:val="00E415D7"/>
    <w:rsid w:val="00E66812"/>
    <w:rsid w:val="00E71AFD"/>
    <w:rsid w:val="00E945F4"/>
    <w:rsid w:val="00E96B73"/>
    <w:rsid w:val="00EA647A"/>
    <w:rsid w:val="00EA66E4"/>
    <w:rsid w:val="00EB0BEF"/>
    <w:rsid w:val="00EB7078"/>
    <w:rsid w:val="00ED0A9C"/>
    <w:rsid w:val="00ED3407"/>
    <w:rsid w:val="00ED3B6A"/>
    <w:rsid w:val="00EE28F5"/>
    <w:rsid w:val="00EE453A"/>
    <w:rsid w:val="00EE5F9B"/>
    <w:rsid w:val="00EF5664"/>
    <w:rsid w:val="00F01816"/>
    <w:rsid w:val="00F06836"/>
    <w:rsid w:val="00F13332"/>
    <w:rsid w:val="00F145B0"/>
    <w:rsid w:val="00F22920"/>
    <w:rsid w:val="00F43B9D"/>
    <w:rsid w:val="00F5427A"/>
    <w:rsid w:val="00F73F61"/>
    <w:rsid w:val="00F77A93"/>
    <w:rsid w:val="00F84A57"/>
    <w:rsid w:val="00F8624E"/>
    <w:rsid w:val="00F9171B"/>
    <w:rsid w:val="00F9232F"/>
    <w:rsid w:val="00FA10BD"/>
    <w:rsid w:val="00FA535B"/>
    <w:rsid w:val="00FA5789"/>
    <w:rsid w:val="00FB1647"/>
    <w:rsid w:val="00FD78EA"/>
    <w:rsid w:val="00FE1A8E"/>
    <w:rsid w:val="00FE43AA"/>
    <w:rsid w:val="00FF26A4"/>
    <w:rsid w:val="00FF29B8"/>
    <w:rsid w:val="076247AC"/>
    <w:rsid w:val="09FD44E6"/>
    <w:rsid w:val="0F9D0696"/>
    <w:rsid w:val="1A1B3137"/>
    <w:rsid w:val="1E723956"/>
    <w:rsid w:val="2B7C61BF"/>
    <w:rsid w:val="2E9A31D8"/>
    <w:rsid w:val="2F1A66CE"/>
    <w:rsid w:val="2F6A7849"/>
    <w:rsid w:val="2FA66557"/>
    <w:rsid w:val="38ED1059"/>
    <w:rsid w:val="3AA51998"/>
    <w:rsid w:val="3D762284"/>
    <w:rsid w:val="3FBB4D9D"/>
    <w:rsid w:val="408469E4"/>
    <w:rsid w:val="43C6583D"/>
    <w:rsid w:val="46693892"/>
    <w:rsid w:val="49B123F5"/>
    <w:rsid w:val="4C0813AE"/>
    <w:rsid w:val="4D746736"/>
    <w:rsid w:val="4DB46E57"/>
    <w:rsid w:val="544D72DC"/>
    <w:rsid w:val="548670BA"/>
    <w:rsid w:val="5ADB6194"/>
    <w:rsid w:val="5AEA0773"/>
    <w:rsid w:val="5FBE7D8F"/>
    <w:rsid w:val="61F71336"/>
    <w:rsid w:val="63D84EDF"/>
    <w:rsid w:val="63DF6AAB"/>
    <w:rsid w:val="69B94755"/>
    <w:rsid w:val="6A343F70"/>
    <w:rsid w:val="70D72EF1"/>
    <w:rsid w:val="73413A6E"/>
    <w:rsid w:val="7F302CFB"/>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semiHidden="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semiHidden="0" w:name="Body Text First Indent"/>
    <w:lsdException w:uiPriority="0" w:semiHidden="0" w:name="Body Text First Indent 2"/>
    <w:lsdException w:uiPriority="0" w:name="Note Heading"/>
    <w:lsdException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3"/>
    <w:qFormat/>
    <w:locked/>
    <w:uiPriority w:val="9"/>
    <w:pPr>
      <w:keepNext/>
      <w:keepLines/>
      <w:spacing w:before="340" w:after="330" w:line="578" w:lineRule="auto"/>
      <w:outlineLvl w:val="0"/>
    </w:pPr>
    <w:rPr>
      <w:b/>
      <w:bCs/>
      <w:kern w:val="44"/>
      <w:sz w:val="44"/>
      <w:szCs w:val="44"/>
    </w:rPr>
  </w:style>
  <w:style w:type="paragraph" w:styleId="5">
    <w:name w:val="heading 2"/>
    <w:basedOn w:val="1"/>
    <w:next w:val="1"/>
    <w:link w:val="27"/>
    <w:qFormat/>
    <w:uiPriority w:val="9"/>
    <w:pPr>
      <w:keepNext/>
      <w:keepLines/>
      <w:spacing w:before="260" w:after="260" w:line="415" w:lineRule="auto"/>
      <w:outlineLvl w:val="1"/>
    </w:pPr>
    <w:rPr>
      <w:rFonts w:ascii="Arial" w:hAnsi="Arial" w:eastAsia="黑体"/>
      <w:b/>
      <w:bCs/>
      <w:sz w:val="32"/>
      <w:szCs w:val="32"/>
    </w:rPr>
  </w:style>
  <w:style w:type="character" w:default="1" w:styleId="17">
    <w:name w:val="Default Paragraph Font"/>
    <w:unhideWhenUsed/>
    <w:uiPriority w:val="1"/>
  </w:style>
  <w:style w:type="table" w:default="1" w:styleId="20">
    <w:name w:val="Normal Table"/>
    <w:unhideWhenUsed/>
    <w:uiPriority w:val="99"/>
    <w:tblPr>
      <w:tblStyle w:val="20"/>
      <w:tblLayout w:type="fixed"/>
      <w:tblCellMar>
        <w:top w:w="0" w:type="dxa"/>
        <w:left w:w="108" w:type="dxa"/>
        <w:bottom w:w="0" w:type="dxa"/>
        <w:right w:w="108" w:type="dxa"/>
      </w:tblCellMar>
    </w:tblPr>
  </w:style>
  <w:style w:type="paragraph" w:styleId="2">
    <w:name w:val="Body Text"/>
    <w:basedOn w:val="1"/>
    <w:next w:val="3"/>
    <w:link w:val="37"/>
    <w:qFormat/>
    <w:uiPriority w:val="0"/>
    <w:pPr>
      <w:widowControl/>
      <w:jc w:val="left"/>
    </w:pPr>
    <w:rPr>
      <w:b/>
      <w:bCs/>
      <w:kern w:val="0"/>
      <w:sz w:val="24"/>
      <w:lang w:eastAsia="en-US"/>
    </w:rPr>
  </w:style>
  <w:style w:type="paragraph" w:styleId="3">
    <w:name w:val="Body Text 2"/>
    <w:basedOn w:val="1"/>
    <w:unhideWhenUsed/>
    <w:uiPriority w:val="0"/>
    <w:pPr>
      <w:spacing w:line="384" w:lineRule="auto"/>
    </w:pPr>
    <w:rPr>
      <w:rFonts w:ascii="宋体" w:hAnsi="宋体"/>
      <w:sz w:val="24"/>
    </w:rPr>
  </w:style>
  <w:style w:type="paragraph" w:styleId="6">
    <w:name w:val="Body Text First Indent"/>
    <w:basedOn w:val="2"/>
    <w:next w:val="7"/>
    <w:unhideWhenUsed/>
    <w:uiPriority w:val="0"/>
    <w:pPr>
      <w:spacing w:line="360" w:lineRule="auto"/>
      <w:ind w:firstLine="420" w:firstLineChars="100"/>
    </w:pPr>
  </w:style>
  <w:style w:type="paragraph" w:styleId="7">
    <w:name w:val="Body Text First Indent 2"/>
    <w:basedOn w:val="8"/>
    <w:next w:val="1"/>
    <w:unhideWhenUsed/>
    <w:uiPriority w:val="0"/>
    <w:pPr>
      <w:numPr>
        <w:ilvl w:val="0"/>
        <w:numId w:val="1"/>
      </w:numPr>
      <w:tabs>
        <w:tab w:val="left" w:pos="432"/>
        <w:tab w:val="clear" w:pos="780"/>
      </w:tabs>
      <w:spacing w:line="360" w:lineRule="auto"/>
      <w:ind w:left="420" w:firstLine="210" w:firstLineChars="200"/>
    </w:pPr>
    <w:rPr>
      <w:bCs/>
    </w:rPr>
  </w:style>
  <w:style w:type="paragraph" w:styleId="8">
    <w:name w:val="Body Text Indent"/>
    <w:basedOn w:val="1"/>
    <w:next w:val="9"/>
    <w:link w:val="36"/>
    <w:qFormat/>
    <w:uiPriority w:val="0"/>
    <w:pPr>
      <w:ind w:left="62" w:leftChars="62"/>
    </w:pPr>
    <w:rPr>
      <w:rFonts w:hint="eastAsia" w:ascii="宋体" w:hAnsi="宋体"/>
      <w:sz w:val="28"/>
    </w:rPr>
  </w:style>
  <w:style w:type="paragraph" w:styleId="9">
    <w:name w:val="envelope return"/>
    <w:basedOn w:val="1"/>
    <w:unhideWhenUsed/>
    <w:uiPriority w:val="0"/>
    <w:pPr>
      <w:snapToGrid w:val="0"/>
      <w:spacing w:line="360" w:lineRule="auto"/>
    </w:pPr>
    <w:rPr>
      <w:rFonts w:ascii="Arial" w:hAnsi="Arial" w:cs="Arial"/>
    </w:rPr>
  </w:style>
  <w:style w:type="paragraph" w:styleId="10">
    <w:name w:val="Plain Text"/>
    <w:basedOn w:val="1"/>
    <w:link w:val="31"/>
    <w:qFormat/>
    <w:uiPriority w:val="0"/>
    <w:rPr>
      <w:rFonts w:ascii="宋体"/>
      <w:kern w:val="0"/>
    </w:rPr>
  </w:style>
  <w:style w:type="paragraph" w:styleId="11">
    <w:name w:val="Date"/>
    <w:basedOn w:val="1"/>
    <w:next w:val="1"/>
    <w:link w:val="30"/>
    <w:qFormat/>
    <w:uiPriority w:val="99"/>
    <w:pPr>
      <w:ind w:left="2500" w:leftChars="2500"/>
    </w:pPr>
    <w:rPr>
      <w:rFonts w:ascii="Calibri" w:hAnsi="Calibri" w:cs="Arial"/>
      <w:szCs w:val="22"/>
    </w:rPr>
  </w:style>
  <w:style w:type="paragraph" w:styleId="12">
    <w:name w:val="Balloon Text"/>
    <w:basedOn w:val="1"/>
    <w:link w:val="32"/>
    <w:unhideWhenUsed/>
    <w:qFormat/>
    <w:uiPriority w:val="99"/>
    <w:rPr>
      <w:sz w:val="18"/>
      <w:szCs w:val="18"/>
    </w:rPr>
  </w:style>
  <w:style w:type="paragraph" w:styleId="13">
    <w:name w:val="footer"/>
    <w:basedOn w:val="1"/>
    <w:link w:val="29"/>
    <w:qFormat/>
    <w:uiPriority w:val="99"/>
    <w:pPr>
      <w:tabs>
        <w:tab w:val="center" w:pos="4153"/>
        <w:tab w:val="right" w:pos="8306"/>
      </w:tabs>
      <w:snapToGrid w:val="0"/>
      <w:jc w:val="left"/>
    </w:pPr>
    <w:rPr>
      <w:sz w:val="18"/>
      <w:szCs w:val="18"/>
    </w:rPr>
  </w:style>
  <w:style w:type="paragraph" w:styleId="14">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unhideWhenUsed/>
    <w:qFormat/>
    <w:uiPriority w:val="99"/>
    <w:pPr>
      <w:widowControl/>
      <w:jc w:val="left"/>
    </w:pPr>
    <w:rPr>
      <w:rFonts w:ascii="宋体" w:hAnsi="宋体" w:cs="宋体"/>
      <w:kern w:val="0"/>
      <w:sz w:val="24"/>
    </w:rPr>
  </w:style>
  <w:style w:type="paragraph" w:styleId="16">
    <w:name w:val="Title"/>
    <w:basedOn w:val="1"/>
    <w:next w:val="1"/>
    <w:link w:val="34"/>
    <w:qFormat/>
    <w:locked/>
    <w:uiPriority w:val="0"/>
    <w:pPr>
      <w:adjustRightInd w:val="0"/>
      <w:spacing w:before="240" w:after="60" w:line="312" w:lineRule="atLeast"/>
      <w:jc w:val="center"/>
      <w:textAlignment w:val="baseline"/>
      <w:outlineLvl w:val="0"/>
    </w:pPr>
    <w:rPr>
      <w:rFonts w:ascii="Cambria" w:hAnsi="Cambria"/>
      <w:b/>
      <w:bCs/>
      <w:kern w:val="0"/>
      <w:sz w:val="32"/>
      <w:szCs w:val="32"/>
    </w:rPr>
  </w:style>
  <w:style w:type="character" w:styleId="18">
    <w:name w:val="page number"/>
    <w:basedOn w:val="17"/>
    <w:qFormat/>
    <w:uiPriority w:val="99"/>
    <w:rPr>
      <w:rFonts w:cs="Times New Roman"/>
    </w:rPr>
  </w:style>
  <w:style w:type="character" w:styleId="19">
    <w:name w:val="Hyperlink"/>
    <w:qFormat/>
    <w:uiPriority w:val="0"/>
    <w:rPr>
      <w:color w:val="0000FF"/>
      <w:u w:val="single"/>
    </w:rPr>
  </w:style>
  <w:style w:type="table" w:styleId="21">
    <w:name w:val="Table Grid"/>
    <w:basedOn w:val="20"/>
    <w:qFormat/>
    <w:uiPriority w:val="59"/>
    <w:pPr/>
    <w:rPr>
      <w:rFonts w:ascii="Calibri" w:hAnsi="Calibri"/>
    </w:r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Char Char Char Char"/>
    <w:basedOn w:val="1"/>
    <w:semiHidden/>
    <w:qFormat/>
    <w:uiPriority w:val="99"/>
    <w:pPr>
      <w:widowControl/>
      <w:spacing w:after="160" w:line="240" w:lineRule="exact"/>
      <w:jc w:val="left"/>
    </w:pPr>
    <w:rPr>
      <w:rFonts w:ascii="Verdana" w:hAnsi="Verdana"/>
      <w:kern w:val="0"/>
      <w:sz w:val="20"/>
      <w:szCs w:val="20"/>
      <w:lang w:eastAsia="en-US"/>
    </w:rPr>
  </w:style>
  <w:style w:type="paragraph" w:customStyle="1" w:styleId="23">
    <w:name w:val="List Paragraph1"/>
    <w:basedOn w:val="1"/>
    <w:qFormat/>
    <w:uiPriority w:val="0"/>
    <w:pPr>
      <w:ind w:firstLine="200" w:firstLineChars="200"/>
    </w:pPr>
    <w:rPr>
      <w:rFonts w:ascii="Calibri" w:hAnsi="Calibri" w:cs="Arial"/>
      <w:szCs w:val="22"/>
    </w:rPr>
  </w:style>
  <w:style w:type="paragraph" w:customStyle="1" w:styleId="24">
    <w:name w:val="列表段落1"/>
    <w:basedOn w:val="1"/>
    <w:qFormat/>
    <w:uiPriority w:val="0"/>
    <w:pPr>
      <w:ind w:firstLine="420" w:firstLineChars="200"/>
    </w:pPr>
  </w:style>
  <w:style w:type="paragraph" w:customStyle="1" w:styleId="25">
    <w:name w:val="列出段落1"/>
    <w:basedOn w:val="1"/>
    <w:qFormat/>
    <w:uiPriority w:val="34"/>
    <w:pPr>
      <w:ind w:firstLine="420" w:firstLineChars="200"/>
    </w:pPr>
  </w:style>
  <w:style w:type="paragraph" w:customStyle="1" w:styleId="26">
    <w:name w:val="_Style 1"/>
    <w:basedOn w:val="1"/>
    <w:unhideWhenUsed/>
    <w:qFormat/>
    <w:uiPriority w:val="34"/>
    <w:pPr>
      <w:ind w:left="952" w:hanging="240"/>
    </w:pPr>
    <w:rPr>
      <w:rFonts w:ascii="宋体" w:hAnsi="宋体" w:cs="宋体"/>
    </w:rPr>
  </w:style>
  <w:style w:type="character" w:customStyle="1" w:styleId="27">
    <w:name w:val="标题 2 字符"/>
    <w:basedOn w:val="17"/>
    <w:link w:val="5"/>
    <w:qFormat/>
    <w:locked/>
    <w:uiPriority w:val="9"/>
    <w:rPr>
      <w:rFonts w:ascii="Arial" w:hAnsi="Arial" w:eastAsia="黑体" w:cs="Times New Roman"/>
      <w:b/>
      <w:bCs/>
      <w:kern w:val="2"/>
      <w:sz w:val="32"/>
      <w:szCs w:val="32"/>
    </w:rPr>
  </w:style>
  <w:style w:type="character" w:customStyle="1" w:styleId="28">
    <w:name w:val="页眉 字符"/>
    <w:basedOn w:val="17"/>
    <w:link w:val="14"/>
    <w:qFormat/>
    <w:locked/>
    <w:uiPriority w:val="99"/>
    <w:rPr>
      <w:rFonts w:cs="Times New Roman"/>
      <w:kern w:val="2"/>
      <w:sz w:val="18"/>
      <w:szCs w:val="18"/>
    </w:rPr>
  </w:style>
  <w:style w:type="character" w:customStyle="1" w:styleId="29">
    <w:name w:val="页脚 字符"/>
    <w:basedOn w:val="17"/>
    <w:link w:val="13"/>
    <w:qFormat/>
    <w:locked/>
    <w:uiPriority w:val="99"/>
    <w:rPr>
      <w:rFonts w:cs="Times New Roman"/>
      <w:kern w:val="2"/>
      <w:sz w:val="18"/>
      <w:szCs w:val="18"/>
    </w:rPr>
  </w:style>
  <w:style w:type="character" w:customStyle="1" w:styleId="30">
    <w:name w:val="日期 字符"/>
    <w:basedOn w:val="17"/>
    <w:link w:val="11"/>
    <w:qFormat/>
    <w:locked/>
    <w:uiPriority w:val="99"/>
    <w:rPr>
      <w:rFonts w:ascii="Calibri" w:hAnsi="Calibri" w:cs="Arial"/>
      <w:kern w:val="2"/>
      <w:sz w:val="22"/>
      <w:szCs w:val="22"/>
    </w:rPr>
  </w:style>
  <w:style w:type="character" w:customStyle="1" w:styleId="31">
    <w:name w:val="纯文本 字符"/>
    <w:basedOn w:val="17"/>
    <w:link w:val="10"/>
    <w:qFormat/>
    <w:locked/>
    <w:uiPriority w:val="99"/>
    <w:rPr>
      <w:rFonts w:ascii="宋体" w:cs="Times New Roman"/>
      <w:sz w:val="24"/>
      <w:szCs w:val="24"/>
    </w:rPr>
  </w:style>
  <w:style w:type="character" w:customStyle="1" w:styleId="32">
    <w:name w:val="批注框文本 字符"/>
    <w:basedOn w:val="17"/>
    <w:link w:val="12"/>
    <w:semiHidden/>
    <w:qFormat/>
    <w:uiPriority w:val="99"/>
    <w:rPr>
      <w:kern w:val="2"/>
      <w:sz w:val="18"/>
      <w:szCs w:val="18"/>
    </w:rPr>
  </w:style>
  <w:style w:type="character" w:customStyle="1" w:styleId="33">
    <w:name w:val="标题 1 字符"/>
    <w:basedOn w:val="17"/>
    <w:link w:val="4"/>
    <w:qFormat/>
    <w:uiPriority w:val="9"/>
    <w:rPr>
      <w:b/>
      <w:bCs/>
      <w:kern w:val="44"/>
      <w:sz w:val="44"/>
      <w:szCs w:val="44"/>
    </w:rPr>
  </w:style>
  <w:style w:type="character" w:customStyle="1" w:styleId="34">
    <w:name w:val="标题 字符"/>
    <w:basedOn w:val="17"/>
    <w:link w:val="16"/>
    <w:qFormat/>
    <w:uiPriority w:val="0"/>
    <w:rPr>
      <w:rFonts w:ascii="Cambria" w:hAnsi="Cambria"/>
      <w:b/>
      <w:bCs/>
      <w:sz w:val="32"/>
      <w:szCs w:val="32"/>
    </w:rPr>
  </w:style>
  <w:style w:type="character" w:customStyle="1" w:styleId="35">
    <w:name w:val="font01"/>
    <w:qFormat/>
    <w:uiPriority w:val="0"/>
    <w:rPr>
      <w:rFonts w:hint="eastAsia" w:ascii="宋体" w:hAnsi="宋体" w:eastAsia="宋体" w:cs="宋体"/>
      <w:color w:val="000000"/>
      <w:sz w:val="22"/>
      <w:szCs w:val="22"/>
      <w:u w:val="none"/>
    </w:rPr>
  </w:style>
  <w:style w:type="character" w:customStyle="1" w:styleId="36">
    <w:name w:val="正文文本缩进 字符"/>
    <w:basedOn w:val="17"/>
    <w:link w:val="8"/>
    <w:qFormat/>
    <w:uiPriority w:val="0"/>
    <w:rPr>
      <w:rFonts w:ascii="宋体" w:hAnsi="宋体"/>
      <w:kern w:val="2"/>
      <w:sz w:val="28"/>
      <w:szCs w:val="24"/>
    </w:rPr>
  </w:style>
  <w:style w:type="character" w:customStyle="1" w:styleId="37">
    <w:name w:val="正文文本 字符"/>
    <w:basedOn w:val="17"/>
    <w:link w:val="2"/>
    <w:qFormat/>
    <w:uiPriority w:val="0"/>
    <w:rPr>
      <w:b/>
      <w:bCs/>
      <w:sz w:val="24"/>
      <w:szCs w:val="24"/>
      <w:lang w:eastAsia="en-US"/>
    </w:rPr>
  </w:style>
  <w:style w:type="character" w:customStyle="1" w:styleId="38">
    <w:name w:val="未处理的提及1"/>
    <w:basedOn w:val="1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1288</Words>
  <Characters>7342</Characters>
  <Lines>61</Lines>
  <Paragraphs>17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2023-07-31T08:13:00Z</dcterms:created>
  <dc:creator>微软用户</dc:creator>
  <cp:lastModifiedBy>lenovo</cp:lastModifiedBy>
  <cp:lastPrinted>2019-07-25T02:15:00Z</cp:lastPrinted>
  <dcterms:modified xsi:type="dcterms:W3CDTF">2024-04-22T02:18:11Z</dcterms:modified>
  <dc:title>远东复合技术有限公司一台分电机传动框绞机招标技术要求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B30D2407D52749AA90E06E17A843B924</vt:lpwstr>
  </property>
</Properties>
</file>